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pptx" ContentType="application/vnd.openxmlformats-officedocument.presentationml.presentation"/>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948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
        <w:gridCol w:w="284"/>
        <w:gridCol w:w="6804"/>
        <w:gridCol w:w="2290"/>
      </w:tblGrid>
      <w:tr w:rsidR="003D35BB" w:rsidRPr="00732120" w:rsidTr="00E727A6">
        <w:trPr>
          <w:trHeight w:val="1417"/>
        </w:trPr>
        <w:tc>
          <w:tcPr>
            <w:tcW w:w="9486" w:type="dxa"/>
            <w:gridSpan w:val="4"/>
          </w:tcPr>
          <w:p w:rsidR="003D35BB" w:rsidRDefault="006852D4" w:rsidP="00E06DA1">
            <w:pPr>
              <w:pStyle w:val="Title"/>
              <w:spacing w:line="278" w:lineRule="auto"/>
              <w:jc w:val="left"/>
              <w:rPr>
                <w:rFonts w:ascii="Open Sans" w:hAnsi="Open Sans" w:cs="Open Sans"/>
                <w:b w:val="0"/>
                <w:color w:val="A70B2C"/>
                <w:lang w:val="en-GB"/>
              </w:rPr>
            </w:pPr>
            <w:r w:rsidRPr="006852D4">
              <w:rPr>
                <w:rFonts w:ascii="Open Sans" w:hAnsi="Open Sans" w:cs="Open Sans"/>
                <w:b w:val="0"/>
                <w:color w:val="A70B2C"/>
                <w:lang w:val="en-GB"/>
              </w:rPr>
              <w:t xml:space="preserve">Assessment of geological risk in the Canary Islands: the </w:t>
            </w:r>
            <w:proofErr w:type="spellStart"/>
            <w:r w:rsidRPr="006852D4">
              <w:rPr>
                <w:rFonts w:ascii="Open Sans" w:hAnsi="Open Sans" w:cs="Open Sans"/>
                <w:b w:val="0"/>
                <w:color w:val="A70B2C"/>
                <w:lang w:val="en-GB"/>
              </w:rPr>
              <w:t>GeoMEP</w:t>
            </w:r>
            <w:proofErr w:type="spellEnd"/>
            <w:r w:rsidRPr="006852D4">
              <w:rPr>
                <w:rFonts w:ascii="Open Sans" w:hAnsi="Open Sans" w:cs="Open Sans"/>
                <w:b w:val="0"/>
                <w:color w:val="A70B2C"/>
                <w:lang w:val="en-GB"/>
              </w:rPr>
              <w:t xml:space="preserve"> </w:t>
            </w:r>
            <w:r w:rsidR="00E727A6">
              <w:rPr>
                <w:rFonts w:ascii="Open Sans" w:hAnsi="Open Sans" w:cs="Open Sans"/>
                <w:b w:val="0"/>
                <w:color w:val="A70B2C"/>
                <w:lang w:val="en-GB"/>
              </w:rPr>
              <w:t>project</w:t>
            </w:r>
          </w:p>
          <w:p w:rsidR="005A2C0B" w:rsidRPr="00732120" w:rsidRDefault="00732120" w:rsidP="00732120">
            <w:pPr>
              <w:spacing w:line="276" w:lineRule="auto"/>
              <w:jc w:val="both"/>
              <w:rPr>
                <w:rFonts w:ascii="Open Sans" w:hAnsi="Open Sans" w:cs="Open Sans"/>
                <w:i/>
                <w:color w:val="7F7F7F" w:themeColor="text1" w:themeTint="80"/>
                <w:sz w:val="20"/>
                <w:szCs w:val="20"/>
                <w:lang w:val="en-US"/>
              </w:rPr>
            </w:pPr>
            <w:r w:rsidRPr="00732120">
              <w:rPr>
                <w:rFonts w:ascii="Open Sans" w:hAnsi="Open Sans" w:cs="Open Sans"/>
                <w:i/>
                <w:color w:val="7F7F7F" w:themeColor="text1" w:themeTint="80"/>
                <w:sz w:val="20"/>
                <w:szCs w:val="20"/>
                <w:lang w:val="en-US"/>
              </w:rPr>
              <w:t xml:space="preserve">The assessment of the losses which may be potentially caused by a natural disaster in a given scenario is an essential exercise in the insurance industry for the estimation of the necessary financial resources to deal with the disaster. Since it is not possible to use statistical data, due to the low frequency of causative catastrophic events, the development of modelling techniques was increasingly generalized after the hurricane Andrew (August 2012) as a way to forecast the damage. </w:t>
            </w:r>
            <w:proofErr w:type="spellStart"/>
            <w:r w:rsidRPr="00732120">
              <w:rPr>
                <w:rFonts w:ascii="Open Sans" w:hAnsi="Open Sans" w:cs="Open Sans"/>
                <w:i/>
                <w:color w:val="7F7F7F" w:themeColor="text1" w:themeTint="80"/>
                <w:sz w:val="20"/>
                <w:szCs w:val="20"/>
                <w:lang w:val="en-US"/>
              </w:rPr>
              <w:t>GeoMEP</w:t>
            </w:r>
            <w:proofErr w:type="spellEnd"/>
            <w:r w:rsidRPr="00732120">
              <w:rPr>
                <w:rFonts w:ascii="Open Sans" w:hAnsi="Open Sans" w:cs="Open Sans"/>
                <w:i/>
                <w:color w:val="7F7F7F" w:themeColor="text1" w:themeTint="80"/>
                <w:sz w:val="20"/>
                <w:szCs w:val="20"/>
                <w:lang w:val="en-US"/>
              </w:rPr>
              <w:t xml:space="preserve">, a loss evaluation method for geologic risks, has been developed on the base of an agreement of collaboration between the Geological and Mining Institute of Spain (IGME) and the </w:t>
            </w:r>
            <w:proofErr w:type="spellStart"/>
            <w:r w:rsidRPr="00732120">
              <w:rPr>
                <w:rFonts w:ascii="Open Sans" w:hAnsi="Open Sans" w:cs="Open Sans"/>
                <w:i/>
                <w:color w:val="7F7F7F" w:themeColor="text1" w:themeTint="80"/>
                <w:sz w:val="20"/>
                <w:szCs w:val="20"/>
                <w:lang w:val="en-US"/>
              </w:rPr>
              <w:t>Consorcio</w:t>
            </w:r>
            <w:proofErr w:type="spellEnd"/>
            <w:r w:rsidRPr="00732120">
              <w:rPr>
                <w:rFonts w:ascii="Open Sans" w:hAnsi="Open Sans" w:cs="Open Sans"/>
                <w:i/>
                <w:color w:val="7F7F7F" w:themeColor="text1" w:themeTint="80"/>
                <w:sz w:val="20"/>
                <w:szCs w:val="20"/>
                <w:lang w:val="en-US"/>
              </w:rPr>
              <w:t xml:space="preserve"> de </w:t>
            </w:r>
            <w:proofErr w:type="spellStart"/>
            <w:r w:rsidRPr="00732120">
              <w:rPr>
                <w:rFonts w:ascii="Open Sans" w:hAnsi="Open Sans" w:cs="Open Sans"/>
                <w:i/>
                <w:color w:val="7F7F7F" w:themeColor="text1" w:themeTint="80"/>
                <w:sz w:val="20"/>
                <w:szCs w:val="20"/>
                <w:lang w:val="en-US"/>
              </w:rPr>
              <w:t>Compensación</w:t>
            </w:r>
            <w:proofErr w:type="spellEnd"/>
            <w:r w:rsidRPr="00732120">
              <w:rPr>
                <w:rFonts w:ascii="Open Sans" w:hAnsi="Open Sans" w:cs="Open Sans"/>
                <w:i/>
                <w:color w:val="7F7F7F" w:themeColor="text1" w:themeTint="80"/>
                <w:sz w:val="20"/>
                <w:szCs w:val="20"/>
                <w:lang w:val="en-US"/>
              </w:rPr>
              <w:t xml:space="preserve"> de </w:t>
            </w:r>
            <w:proofErr w:type="spellStart"/>
            <w:r w:rsidRPr="00732120">
              <w:rPr>
                <w:rFonts w:ascii="Open Sans" w:hAnsi="Open Sans" w:cs="Open Sans"/>
                <w:i/>
                <w:color w:val="7F7F7F" w:themeColor="text1" w:themeTint="80"/>
                <w:sz w:val="20"/>
                <w:szCs w:val="20"/>
                <w:lang w:val="en-US"/>
              </w:rPr>
              <w:t>Seguros</w:t>
            </w:r>
            <w:proofErr w:type="spellEnd"/>
            <w:r w:rsidRPr="00732120">
              <w:rPr>
                <w:rFonts w:ascii="Open Sans" w:hAnsi="Open Sans" w:cs="Open Sans"/>
                <w:i/>
                <w:color w:val="7F7F7F" w:themeColor="text1" w:themeTint="80"/>
                <w:sz w:val="20"/>
                <w:szCs w:val="20"/>
                <w:lang w:val="en-US"/>
              </w:rPr>
              <w:t xml:space="preserve"> (CCS). In the preliminary stage, </w:t>
            </w:r>
            <w:proofErr w:type="spellStart"/>
            <w:r w:rsidRPr="00732120">
              <w:rPr>
                <w:rFonts w:ascii="Open Sans" w:hAnsi="Open Sans" w:cs="Open Sans"/>
                <w:i/>
                <w:color w:val="7F7F7F" w:themeColor="text1" w:themeTint="80"/>
                <w:sz w:val="20"/>
                <w:szCs w:val="20"/>
                <w:lang w:val="en-US"/>
              </w:rPr>
              <w:t>GeoMEP</w:t>
            </w:r>
            <w:proofErr w:type="spellEnd"/>
            <w:r w:rsidRPr="00732120">
              <w:rPr>
                <w:rFonts w:ascii="Open Sans" w:hAnsi="Open Sans" w:cs="Open Sans"/>
                <w:i/>
                <w:color w:val="7F7F7F" w:themeColor="text1" w:themeTint="80"/>
                <w:sz w:val="20"/>
                <w:szCs w:val="20"/>
                <w:lang w:val="en-US"/>
              </w:rPr>
              <w:t xml:space="preserve"> has focused on Canary Islands as a pilot project, which can be extended to other regions of Spain.</w:t>
            </w:r>
          </w:p>
          <w:p w:rsidR="00732120" w:rsidRPr="00732120" w:rsidRDefault="00732120" w:rsidP="00732120">
            <w:pPr>
              <w:jc w:val="both"/>
              <w:rPr>
                <w:i/>
                <w:sz w:val="20"/>
                <w:szCs w:val="20"/>
                <w:lang w:val="en-US"/>
              </w:rPr>
            </w:pPr>
          </w:p>
        </w:tc>
      </w:tr>
      <w:tr w:rsidR="003D35BB" w:rsidRPr="00732120" w:rsidTr="00E727A6">
        <w:trPr>
          <w:gridBefore w:val="1"/>
          <w:wBefore w:w="108" w:type="dxa"/>
        </w:trPr>
        <w:tc>
          <w:tcPr>
            <w:tcW w:w="7088" w:type="dxa"/>
            <w:gridSpan w:val="2"/>
            <w:shd w:val="clear" w:color="auto" w:fill="F2DBDB" w:themeFill="accent2" w:themeFillTint="33"/>
          </w:tcPr>
          <w:p w:rsidR="003D35BB" w:rsidRPr="006852D4" w:rsidRDefault="003D35BB" w:rsidP="00E722DC">
            <w:pPr>
              <w:spacing w:before="240"/>
              <w:ind w:left="176"/>
              <w:outlineLvl w:val="1"/>
              <w:rPr>
                <w:rFonts w:ascii="Open Sans" w:eastAsia="Times New Roman" w:hAnsi="Open Sans" w:cs="Open Sans"/>
                <w:b/>
                <w:color w:val="A70B2C"/>
                <w:spacing w:val="-15"/>
                <w:lang w:val="en-US" w:eastAsia="es-ES"/>
              </w:rPr>
            </w:pPr>
            <w:r w:rsidRPr="006852D4">
              <w:rPr>
                <w:rFonts w:ascii="Open Sans" w:eastAsia="Times New Roman" w:hAnsi="Open Sans" w:cs="Open Sans"/>
                <w:b/>
                <w:color w:val="A70B2C"/>
                <w:spacing w:val="-15"/>
                <w:lang w:val="en-US" w:eastAsia="es-ES"/>
              </w:rPr>
              <w:t xml:space="preserve">Miguel </w:t>
            </w:r>
            <w:proofErr w:type="spellStart"/>
            <w:r w:rsidRPr="006852D4">
              <w:rPr>
                <w:rFonts w:ascii="Open Sans" w:eastAsia="Times New Roman" w:hAnsi="Open Sans" w:cs="Open Sans"/>
                <w:b/>
                <w:color w:val="A70B2C"/>
                <w:spacing w:val="-15"/>
                <w:lang w:val="en-US" w:eastAsia="es-ES"/>
              </w:rPr>
              <w:t>Llorente</w:t>
            </w:r>
            <w:proofErr w:type="spellEnd"/>
            <w:r w:rsidRPr="006852D4">
              <w:rPr>
                <w:rFonts w:ascii="Open Sans" w:eastAsia="Times New Roman" w:hAnsi="Open Sans" w:cs="Open Sans"/>
                <w:b/>
                <w:color w:val="A70B2C"/>
                <w:spacing w:val="-15"/>
                <w:lang w:val="en-US" w:eastAsia="es-ES"/>
              </w:rPr>
              <w:t xml:space="preserve"> Isidro </w:t>
            </w:r>
            <w:r w:rsidRPr="006852D4">
              <w:rPr>
                <w:rFonts w:ascii="Open Sans" w:eastAsia="Times New Roman" w:hAnsi="Open Sans" w:cs="Open Sans"/>
                <w:b/>
                <w:color w:val="A70B2C"/>
                <w:spacing w:val="-15"/>
                <w:lang w:val="en-US" w:eastAsia="es-ES"/>
              </w:rPr>
              <w:br/>
            </w:r>
            <w:r w:rsidR="006852D4" w:rsidRPr="006852D4">
              <w:rPr>
                <w:rFonts w:ascii="Open Sans" w:hAnsi="Open Sans" w:cs="Open Sans"/>
                <w:color w:val="A70B2C"/>
                <w:sz w:val="18"/>
                <w:lang w:val="en-GB"/>
              </w:rPr>
              <w:t>Geological Risk Division, Geological and Mining Institute of Spain</w:t>
            </w:r>
            <w:r w:rsidRPr="006852D4">
              <w:rPr>
                <w:rFonts w:ascii="Open Sans" w:eastAsia="Times New Roman" w:hAnsi="Open Sans" w:cs="Open Sans"/>
                <w:color w:val="A70B2C"/>
                <w:spacing w:val="-15"/>
                <w:lang w:val="en-US" w:eastAsia="es-ES"/>
              </w:rPr>
              <w:br/>
            </w:r>
          </w:p>
        </w:tc>
        <w:tc>
          <w:tcPr>
            <w:tcW w:w="2290" w:type="dxa"/>
            <w:shd w:val="clear" w:color="auto" w:fill="FFFFFF" w:themeFill="background1"/>
          </w:tcPr>
          <w:p w:rsidR="003D35BB" w:rsidRPr="006852D4" w:rsidRDefault="003D35BB" w:rsidP="003D35BB">
            <w:pPr>
              <w:spacing w:after="150" w:line="140" w:lineRule="exact"/>
              <w:outlineLvl w:val="1"/>
              <w:rPr>
                <w:rFonts w:ascii="Open Sans" w:eastAsia="Times New Roman" w:hAnsi="Open Sans" w:cs="Open Sans"/>
                <w:noProof/>
                <w:color w:val="000000"/>
                <w:spacing w:val="-15"/>
                <w:sz w:val="28"/>
                <w:szCs w:val="28"/>
                <w:lang w:val="en-US" w:eastAsia="es-ES"/>
              </w:rPr>
            </w:pPr>
          </w:p>
        </w:tc>
      </w:tr>
      <w:tr w:rsidR="00A35594" w:rsidTr="00E727A6">
        <w:tc>
          <w:tcPr>
            <w:tcW w:w="9486" w:type="dxa"/>
            <w:gridSpan w:val="4"/>
          </w:tcPr>
          <w:p w:rsidR="003D35BB" w:rsidRPr="006852D4" w:rsidRDefault="003D35BB" w:rsidP="003D35BB">
            <w:pPr>
              <w:spacing w:after="150" w:line="120" w:lineRule="atLeast"/>
              <w:outlineLvl w:val="1"/>
              <w:rPr>
                <w:rFonts w:ascii="Open Sans" w:eastAsia="Times New Roman" w:hAnsi="Open Sans" w:cs="Open Sans"/>
                <w:color w:val="000000"/>
                <w:spacing w:val="-15"/>
                <w:sz w:val="28"/>
                <w:szCs w:val="28"/>
                <w:lang w:val="en-US" w:eastAsia="es-ES"/>
              </w:rPr>
            </w:pPr>
          </w:p>
          <w:p w:rsidR="00A35594" w:rsidRDefault="00A35594" w:rsidP="003D35BB">
            <w:pPr>
              <w:spacing w:after="150" w:line="420" w:lineRule="atLeast"/>
              <w:outlineLvl w:val="1"/>
              <w:rPr>
                <w:rFonts w:ascii="Open Sans" w:eastAsia="Times New Roman" w:hAnsi="Open Sans" w:cs="Open Sans"/>
                <w:color w:val="000000"/>
                <w:spacing w:val="-15"/>
                <w:sz w:val="28"/>
                <w:szCs w:val="28"/>
                <w:lang w:eastAsia="es-ES"/>
              </w:rPr>
            </w:pPr>
            <w:r>
              <w:rPr>
                <w:rFonts w:ascii="Open Sans" w:eastAsia="Times New Roman" w:hAnsi="Open Sans" w:cs="Open Sans"/>
                <w:noProof/>
                <w:color w:val="000000"/>
                <w:spacing w:val="-15"/>
                <w:sz w:val="28"/>
                <w:szCs w:val="28"/>
                <w:lang w:eastAsia="es-ES"/>
              </w:rPr>
              <w:drawing>
                <wp:inline distT="0" distB="0" distL="0" distR="0" wp14:anchorId="5B06F1CF" wp14:editId="347779AD">
                  <wp:extent cx="5886450" cy="3355276"/>
                  <wp:effectExtent l="0" t="0" r="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MEP_portada.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886450" cy="3355276"/>
                          </a:xfrm>
                          <a:prstGeom prst="rect">
                            <a:avLst/>
                          </a:prstGeom>
                        </pic:spPr>
                      </pic:pic>
                    </a:graphicData>
                  </a:graphic>
                </wp:inline>
              </w:drawing>
            </w:r>
          </w:p>
        </w:tc>
      </w:tr>
      <w:tr w:rsidR="00A35594" w:rsidRPr="00732120" w:rsidTr="00E727A6">
        <w:tc>
          <w:tcPr>
            <w:tcW w:w="392" w:type="dxa"/>
            <w:gridSpan w:val="2"/>
          </w:tcPr>
          <w:p w:rsidR="00A35594" w:rsidRDefault="0070116A" w:rsidP="003D35BB">
            <w:pPr>
              <w:spacing w:after="150" w:line="420" w:lineRule="atLeast"/>
              <w:outlineLvl w:val="1"/>
              <w:rPr>
                <w:rFonts w:ascii="Open Sans" w:hAnsi="Open Sans" w:cs="Open Sans"/>
                <w:color w:val="7E8998"/>
                <w:spacing w:val="-15"/>
                <w:sz w:val="21"/>
                <w:szCs w:val="21"/>
              </w:rPr>
            </w:pPr>
            <w:r>
              <w:rPr>
                <w:rFonts w:ascii="Open Sans" w:hAnsi="Open Sans" w:cs="Open Sans"/>
                <w:noProof/>
                <w:color w:val="7E8998"/>
                <w:spacing w:val="-15"/>
                <w:sz w:val="21"/>
                <w:szCs w:val="21"/>
                <w:lang w:eastAsia="es-ES"/>
              </w:rPr>
              <mc:AlternateContent>
                <mc:Choice Requires="wps">
                  <w:drawing>
                    <wp:anchor distT="0" distB="0" distL="114300" distR="114300" simplePos="0" relativeHeight="251659264" behindDoc="0" locked="0" layoutInCell="1" allowOverlap="1" wp14:anchorId="2EE4A605" wp14:editId="14C1E33D">
                      <wp:simplePos x="0" y="0"/>
                      <wp:positionH relativeFrom="column">
                        <wp:posOffset>14605</wp:posOffset>
                      </wp:positionH>
                      <wp:positionV relativeFrom="paragraph">
                        <wp:posOffset>78476</wp:posOffset>
                      </wp:positionV>
                      <wp:extent cx="72000" cy="464400"/>
                      <wp:effectExtent l="0" t="0" r="4445" b="0"/>
                      <wp:wrapNone/>
                      <wp:docPr id="3" name="3 Rectángulo"/>
                      <wp:cNvGraphicFramePr/>
                      <a:graphic xmlns:a="http://schemas.openxmlformats.org/drawingml/2006/main">
                        <a:graphicData uri="http://schemas.microsoft.com/office/word/2010/wordprocessingShape">
                          <wps:wsp>
                            <wps:cNvSpPr/>
                            <wps:spPr>
                              <a:xfrm>
                                <a:off x="0" y="0"/>
                                <a:ext cx="72000" cy="464400"/>
                              </a:xfrm>
                              <a:prstGeom prst="rect">
                                <a:avLst/>
                              </a:prstGeom>
                              <a:solidFill>
                                <a:schemeClr val="bg1">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3 Rectángulo" o:spid="_x0000_s1026" style="position:absolute;margin-left:1.15pt;margin-top:6.2pt;width:5.65pt;height:36.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" fillcolor="#bfbfbf [2412]" stroked="f" strokeweight="2pt"/>
                  </w:pict>
                </mc:Fallback>
              </mc:AlternateContent>
            </w:r>
          </w:p>
        </w:tc>
        <w:tc>
          <w:tcPr>
            <w:tcW w:w="9094" w:type="dxa"/>
            <w:gridSpan w:val="2"/>
          </w:tcPr>
          <w:p w:rsidR="00A35594" w:rsidRPr="00732120" w:rsidRDefault="00E727A6" w:rsidP="003D35BB">
            <w:pPr>
              <w:spacing w:after="150" w:line="420" w:lineRule="atLeast"/>
              <w:outlineLvl w:val="1"/>
              <w:rPr>
                <w:rFonts w:ascii="Open Sans" w:hAnsi="Open Sans" w:cs="Open Sans"/>
                <w:color w:val="7F7F7F" w:themeColor="text1" w:themeTint="80"/>
                <w:spacing w:val="-15"/>
                <w:sz w:val="21"/>
                <w:szCs w:val="21"/>
                <w:lang w:val="en-US"/>
              </w:rPr>
            </w:pPr>
            <w:r w:rsidRPr="00732120">
              <w:rPr>
                <w:rFonts w:ascii="Open Sans" w:hAnsi="Open Sans" w:cs="Open Sans"/>
                <w:color w:val="7F7F7F" w:themeColor="text1" w:themeTint="80"/>
                <w:spacing w:val="-15"/>
                <w:sz w:val="21"/>
                <w:szCs w:val="21"/>
                <w:lang w:val="en-US"/>
              </w:rPr>
              <w:t>The Canary Island archipelago is a virtually unparalleled natural laboratory, not just for its geological origin or climate but also for the natural processes that take place as a result of the two.</w:t>
            </w:r>
          </w:p>
          <w:p w:rsidR="00732120" w:rsidRPr="00E727A6" w:rsidRDefault="00732120" w:rsidP="003D35BB">
            <w:pPr>
              <w:spacing w:after="150" w:line="420" w:lineRule="atLeast"/>
              <w:outlineLvl w:val="1"/>
              <w:rPr>
                <w:rFonts w:ascii="Open Sans" w:eastAsia="Times New Roman" w:hAnsi="Open Sans" w:cs="Open Sans"/>
                <w:color w:val="000000"/>
                <w:spacing w:val="-15"/>
                <w:sz w:val="28"/>
                <w:szCs w:val="28"/>
                <w:lang w:val="en-US" w:eastAsia="es-ES"/>
              </w:rPr>
            </w:pPr>
          </w:p>
        </w:tc>
      </w:tr>
    </w:tbl>
    <w:p w:rsidR="00A35594" w:rsidRPr="00E727A6" w:rsidRDefault="00A35594" w:rsidP="0084611F">
      <w:pPr>
        <w:spacing w:after="150" w:line="420" w:lineRule="atLeast"/>
        <w:outlineLvl w:val="1"/>
        <w:rPr>
          <w:rFonts w:ascii="Open Sans" w:eastAsia="Times New Roman" w:hAnsi="Open Sans" w:cs="Open Sans"/>
          <w:color w:val="000000"/>
          <w:spacing w:val="-15"/>
          <w:sz w:val="28"/>
          <w:szCs w:val="28"/>
          <w:lang w:val="en-US" w:eastAsia="es-ES"/>
        </w:rPr>
      </w:pPr>
    </w:p>
    <w:p w:rsidR="00732120" w:rsidRPr="00732120" w:rsidRDefault="00732120" w:rsidP="00732120">
      <w:pPr>
        <w:pStyle w:val="ListParagraph"/>
        <w:numPr>
          <w:ilvl w:val="0"/>
          <w:numId w:val="11"/>
        </w:numPr>
        <w:ind w:left="284" w:right="-1" w:hanging="284"/>
        <w:jc w:val="both"/>
        <w:rPr>
          <w:rFonts w:ascii="Open Sans" w:hAnsi="Open Sans" w:cs="Open Sans"/>
          <w:color w:val="A70B2C"/>
          <w:sz w:val="28"/>
          <w:szCs w:val="28"/>
          <w:lang w:val="en-GB"/>
        </w:rPr>
      </w:pPr>
      <w:r w:rsidRPr="00732120">
        <w:rPr>
          <w:rFonts w:ascii="Open Sans" w:hAnsi="Open Sans" w:cs="Open Sans"/>
          <w:color w:val="A70B2C"/>
          <w:sz w:val="28"/>
          <w:szCs w:val="28"/>
          <w:lang w:val="en-GB"/>
        </w:rPr>
        <w:lastRenderedPageBreak/>
        <w:t>Introduction</w:t>
      </w:r>
    </w:p>
    <w:p w:rsidR="005A2C0B" w:rsidRPr="00DB7AD0" w:rsidRDefault="005A2C0B" w:rsidP="005A2C0B">
      <w:pPr>
        <w:ind w:right="-1"/>
        <w:jc w:val="both"/>
        <w:rPr>
          <w:rFonts w:ascii="Open Sans" w:hAnsi="Open Sans" w:cs="Open Sans"/>
          <w:sz w:val="20"/>
          <w:szCs w:val="20"/>
          <w:lang w:val="en-GB"/>
        </w:rPr>
      </w:pPr>
      <w:r w:rsidRPr="00DB7AD0">
        <w:rPr>
          <w:rFonts w:ascii="Open Sans" w:hAnsi="Open Sans" w:cs="Open Sans"/>
          <w:sz w:val="20"/>
          <w:szCs w:val="20"/>
          <w:lang w:val="en-GB"/>
        </w:rPr>
        <w:t>The Canary Island archipelago is a virtually unparalleled natural laboratory, not just for its geological origin or climate but also for the natural processes that take place as a result of the two. A third element, high population density combined with tourist appeal, makes the islands an ideal site for studying all manner of geological hazards. Such research contributes, on the one hand, to meeting the population’s need for information on the natural dynamics of their immediate surrounds, and on the other, to the development of methodologies to assess possible outcomes.</w:t>
      </w:r>
    </w:p>
    <w:p w:rsidR="005A2C0B" w:rsidRPr="00DB7AD0" w:rsidRDefault="005A2C0B" w:rsidP="005A2C0B">
      <w:pPr>
        <w:ind w:right="-1"/>
        <w:jc w:val="both"/>
        <w:rPr>
          <w:rFonts w:ascii="Open Sans" w:hAnsi="Open Sans" w:cs="Open Sans"/>
          <w:sz w:val="20"/>
          <w:szCs w:val="20"/>
          <w:lang w:val="en-GB"/>
        </w:rPr>
      </w:pPr>
      <w:r w:rsidRPr="00DB7AD0">
        <w:rPr>
          <w:rFonts w:ascii="Open Sans" w:hAnsi="Open Sans" w:cs="Open Sans"/>
          <w:sz w:val="20"/>
          <w:szCs w:val="20"/>
          <w:lang w:val="en-GB"/>
        </w:rPr>
        <w:t xml:space="preserve">Not all geological processes disrupt people’s everyday lives. Those that may indeed have adverse effects are called </w:t>
      </w:r>
      <w:r w:rsidRPr="00DB7AD0">
        <w:rPr>
          <w:rFonts w:ascii="Open Sans" w:hAnsi="Open Sans" w:cs="Open Sans"/>
          <w:i/>
          <w:sz w:val="20"/>
          <w:szCs w:val="20"/>
          <w:lang w:val="en-GB"/>
        </w:rPr>
        <w:t>geological hazards</w:t>
      </w:r>
      <w:r w:rsidRPr="00DB7AD0">
        <w:rPr>
          <w:rFonts w:ascii="Open Sans" w:hAnsi="Open Sans" w:cs="Open Sans"/>
          <w:sz w:val="20"/>
          <w:szCs w:val="20"/>
          <w:lang w:val="en-GB"/>
        </w:rPr>
        <w:t xml:space="preserve">. The Canary Islands are subject to many such hazards, including earthquakes, floods and volcanic eruptions. </w:t>
      </w:r>
      <w:r w:rsidRPr="00DB7AD0">
        <w:rPr>
          <w:rFonts w:ascii="Open Sans" w:hAnsi="Open Sans" w:cs="Open Sans"/>
          <w:i/>
          <w:sz w:val="20"/>
          <w:szCs w:val="20"/>
          <w:lang w:val="en-GB"/>
        </w:rPr>
        <w:t>The foreseeable consequences of a geological hazard are known as “geological risks”.</w:t>
      </w:r>
      <w:r w:rsidRPr="00DB7AD0">
        <w:rPr>
          <w:rFonts w:ascii="Open Sans" w:hAnsi="Open Sans" w:cs="Open Sans"/>
          <w:sz w:val="20"/>
          <w:szCs w:val="20"/>
          <w:lang w:val="en-GB"/>
        </w:rPr>
        <w:t xml:space="preserve"> </w:t>
      </w:r>
    </w:p>
    <w:p w:rsidR="00732120" w:rsidRPr="00732120" w:rsidRDefault="005A2C0B" w:rsidP="00732120">
      <w:pPr>
        <w:jc w:val="both"/>
        <w:rPr>
          <w:rFonts w:ascii="Open Sans" w:hAnsi="Open Sans" w:cs="Open Sans"/>
          <w:sz w:val="18"/>
          <w:szCs w:val="18"/>
          <w:lang w:val="en-US"/>
        </w:rPr>
      </w:pPr>
      <w:r w:rsidRPr="00DB7AD0">
        <w:rPr>
          <w:rFonts w:ascii="Open Sans" w:hAnsi="Open Sans" w:cs="Open Sans"/>
          <w:sz w:val="20"/>
          <w:szCs w:val="20"/>
          <w:lang w:val="en-GB"/>
        </w:rPr>
        <w:t xml:space="preserve">In Spain the </w:t>
      </w:r>
      <w:proofErr w:type="spellStart"/>
      <w:r w:rsidRPr="00DB7AD0">
        <w:rPr>
          <w:rFonts w:ascii="Open Sans" w:hAnsi="Open Sans" w:cs="Open Sans"/>
          <w:sz w:val="20"/>
          <w:szCs w:val="20"/>
          <w:lang w:val="en-GB"/>
        </w:rPr>
        <w:t>Consorcio</w:t>
      </w:r>
      <w:proofErr w:type="spellEnd"/>
      <w:r w:rsidRPr="00DB7AD0">
        <w:rPr>
          <w:rFonts w:ascii="Open Sans" w:hAnsi="Open Sans" w:cs="Open Sans"/>
          <w:sz w:val="20"/>
          <w:szCs w:val="20"/>
          <w:lang w:val="en-GB"/>
        </w:rPr>
        <w:t xml:space="preserve"> de </w:t>
      </w:r>
      <w:proofErr w:type="spellStart"/>
      <w:r w:rsidRPr="00DB7AD0">
        <w:rPr>
          <w:rFonts w:ascii="Open Sans" w:hAnsi="Open Sans" w:cs="Open Sans"/>
          <w:sz w:val="20"/>
          <w:szCs w:val="20"/>
          <w:lang w:val="en-GB"/>
        </w:rPr>
        <w:t>Compensación</w:t>
      </w:r>
      <w:proofErr w:type="spellEnd"/>
      <w:r w:rsidRPr="00DB7AD0">
        <w:rPr>
          <w:rFonts w:ascii="Open Sans" w:hAnsi="Open Sans" w:cs="Open Sans"/>
          <w:sz w:val="20"/>
          <w:szCs w:val="20"/>
          <w:lang w:val="en-GB"/>
        </w:rPr>
        <w:t xml:space="preserve"> de </w:t>
      </w:r>
      <w:proofErr w:type="spellStart"/>
      <w:r w:rsidRPr="00DB7AD0">
        <w:rPr>
          <w:rFonts w:ascii="Open Sans" w:hAnsi="Open Sans" w:cs="Open Sans"/>
          <w:sz w:val="20"/>
          <w:szCs w:val="20"/>
          <w:lang w:val="en-GB"/>
        </w:rPr>
        <w:t>Seguros</w:t>
      </w:r>
      <w:proofErr w:type="spellEnd"/>
      <w:r w:rsidRPr="00DB7AD0">
        <w:rPr>
          <w:rFonts w:ascii="Open Sans" w:hAnsi="Open Sans" w:cs="Open Sans"/>
          <w:sz w:val="20"/>
          <w:szCs w:val="20"/>
          <w:lang w:val="en-GB"/>
        </w:rPr>
        <w:t xml:space="preserve"> (CCS, insurance compensation consortium), a public insurer, is entrusted with covering the losses caused by such risks. But if a hazardous event were to occur tomorrow, how could we determine what the economic implications would be? What liability should the CCS </w:t>
      </w:r>
      <w:proofErr w:type="gramStart"/>
      <w:r w:rsidRPr="00DB7AD0">
        <w:rPr>
          <w:rFonts w:ascii="Open Sans" w:hAnsi="Open Sans" w:cs="Open Sans"/>
          <w:sz w:val="20"/>
          <w:szCs w:val="20"/>
          <w:lang w:val="en-GB"/>
        </w:rPr>
        <w:t>be</w:t>
      </w:r>
      <w:proofErr w:type="gramEnd"/>
      <w:r w:rsidRPr="00DB7AD0">
        <w:rPr>
          <w:rFonts w:ascii="Open Sans" w:hAnsi="Open Sans" w:cs="Open Sans"/>
          <w:sz w:val="20"/>
          <w:szCs w:val="20"/>
          <w:lang w:val="en-GB"/>
        </w:rPr>
        <w:t xml:space="preserve"> prepared to confront? The </w:t>
      </w:r>
      <w:proofErr w:type="spellStart"/>
      <w:r w:rsidRPr="00DB7AD0">
        <w:rPr>
          <w:rFonts w:ascii="Open Sans" w:hAnsi="Open Sans" w:cs="Open Sans"/>
          <w:sz w:val="20"/>
          <w:szCs w:val="20"/>
          <w:lang w:val="en-GB"/>
        </w:rPr>
        <w:t>Instituto</w:t>
      </w:r>
      <w:proofErr w:type="spellEnd"/>
      <w:r w:rsidRPr="00DB7AD0">
        <w:rPr>
          <w:rFonts w:ascii="Open Sans" w:hAnsi="Open Sans" w:cs="Open Sans"/>
          <w:sz w:val="20"/>
          <w:szCs w:val="20"/>
          <w:lang w:val="en-GB"/>
        </w:rPr>
        <w:t xml:space="preserve"> </w:t>
      </w:r>
      <w:proofErr w:type="spellStart"/>
      <w:r w:rsidRPr="00DB7AD0">
        <w:rPr>
          <w:rFonts w:ascii="Open Sans" w:hAnsi="Open Sans" w:cs="Open Sans"/>
          <w:sz w:val="20"/>
          <w:szCs w:val="20"/>
          <w:lang w:val="en-GB"/>
        </w:rPr>
        <w:t>Geológico</w:t>
      </w:r>
      <w:proofErr w:type="spellEnd"/>
      <w:r w:rsidRPr="00DB7AD0">
        <w:rPr>
          <w:rFonts w:ascii="Open Sans" w:hAnsi="Open Sans" w:cs="Open Sans"/>
          <w:sz w:val="20"/>
          <w:szCs w:val="20"/>
          <w:lang w:val="en-GB"/>
        </w:rPr>
        <w:t xml:space="preserve"> y </w:t>
      </w:r>
      <w:proofErr w:type="spellStart"/>
      <w:r w:rsidRPr="00DB7AD0">
        <w:rPr>
          <w:rFonts w:ascii="Open Sans" w:hAnsi="Open Sans" w:cs="Open Sans"/>
          <w:sz w:val="20"/>
          <w:szCs w:val="20"/>
          <w:lang w:val="en-GB"/>
        </w:rPr>
        <w:t>Minero</w:t>
      </w:r>
      <w:proofErr w:type="spellEnd"/>
      <w:r w:rsidRPr="00DB7AD0">
        <w:rPr>
          <w:rFonts w:ascii="Open Sans" w:hAnsi="Open Sans" w:cs="Open Sans"/>
          <w:sz w:val="20"/>
          <w:szCs w:val="20"/>
          <w:lang w:val="en-GB"/>
        </w:rPr>
        <w:t xml:space="preserve"> de </w:t>
      </w:r>
      <w:proofErr w:type="spellStart"/>
      <w:r w:rsidRPr="00DB7AD0">
        <w:rPr>
          <w:rFonts w:ascii="Open Sans" w:hAnsi="Open Sans" w:cs="Open Sans"/>
          <w:sz w:val="20"/>
          <w:szCs w:val="20"/>
          <w:lang w:val="en-GB"/>
        </w:rPr>
        <w:t>España</w:t>
      </w:r>
      <w:proofErr w:type="spellEnd"/>
      <w:r w:rsidRPr="00DB7AD0">
        <w:rPr>
          <w:rFonts w:ascii="Open Sans" w:hAnsi="Open Sans" w:cs="Open Sans"/>
          <w:sz w:val="20"/>
          <w:szCs w:val="20"/>
          <w:lang w:val="en-GB"/>
        </w:rPr>
        <w:t xml:space="preserve"> (IGME, Spanish institute for geological surveys), in turn, has been conducting studies of natural risks since its founding in 1849, and has intensified that line of research considerably in recent decades. Prompted by a common interest in understanding natural risks, the IGME and the CCS have concluded an agreement to assess the geological risks in the Canary Islands (</w:t>
      </w:r>
      <w:proofErr w:type="spellStart"/>
      <w:r w:rsidRPr="00DB7AD0">
        <w:rPr>
          <w:rFonts w:ascii="Open Sans" w:hAnsi="Open Sans" w:cs="Open Sans"/>
          <w:sz w:val="20"/>
          <w:szCs w:val="20"/>
          <w:lang w:val="en-GB"/>
        </w:rPr>
        <w:t>GeoMEP</w:t>
      </w:r>
      <w:proofErr w:type="spellEnd"/>
      <w:r w:rsidRPr="00DB7AD0">
        <w:rPr>
          <w:rFonts w:ascii="Open Sans" w:hAnsi="Open Sans" w:cs="Open Sans"/>
          <w:sz w:val="20"/>
          <w:szCs w:val="20"/>
          <w:lang w:val="en-GB"/>
        </w:rPr>
        <w:t xml:space="preserve"> project</w:t>
      </w:r>
      <w:r>
        <w:rPr>
          <w:rFonts w:ascii="Open Sans" w:hAnsi="Open Sans" w:cs="Open Sans"/>
          <w:sz w:val="20"/>
          <w:szCs w:val="20"/>
          <w:lang w:val="en-GB"/>
        </w:rPr>
        <w:t xml:space="preserve">) </w:t>
      </w:r>
      <w:r w:rsidRPr="005A2C0B">
        <w:rPr>
          <w:rFonts w:ascii="Open Sans" w:hAnsi="Open Sans" w:cs="Open Sans"/>
          <w:color w:val="A70B2C"/>
          <w:sz w:val="20"/>
          <w:szCs w:val="20"/>
          <w:lang w:val="en-GB"/>
        </w:rPr>
        <w:t xml:space="preserve">(1) </w:t>
      </w:r>
      <w:r w:rsidRPr="00DB7AD0">
        <w:rPr>
          <w:rFonts w:ascii="Open Sans" w:hAnsi="Open Sans" w:cs="Open Sans"/>
          <w:sz w:val="20"/>
          <w:szCs w:val="20"/>
          <w:lang w:val="en-GB"/>
        </w:rPr>
        <w:t>to estimate the resources required to provision for flooding, earthquake and volcanic risk.</w:t>
      </w:r>
    </w:p>
    <w:p w:rsidR="00732120" w:rsidRDefault="00B92EF2">
      <w:pPr>
        <w:rPr>
          <w:rFonts w:ascii="Open Sans" w:hAnsi="Open Sans" w:cs="Open Sans"/>
          <w:sz w:val="20"/>
          <w:szCs w:val="20"/>
        </w:rPr>
      </w:pPr>
      <w:r>
        <w:rPr>
          <w:rFonts w:ascii="Open Sans" w:hAnsi="Open Sans" w:cs="Open Sans"/>
          <w:noProof/>
          <w:sz w:val="20"/>
          <w:szCs w:val="20"/>
          <w:lang w:eastAsia="es-ES"/>
        </w:rPr>
        <w:drawing>
          <wp:inline distT="0" distB="0" distL="0" distR="0" wp14:anchorId="62E27BC4" wp14:editId="25B2FD79">
            <wp:extent cx="5400040" cy="18415"/>
            <wp:effectExtent l="0" t="0" r="0" b="635"/>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parador.png"/>
                    <pic:cNvPicPr/>
                  </pic:nvPicPr>
                  <pic:blipFill>
                    <a:blip r:embed="rId9">
                      <a:extLst>
                        <a:ext uri="{28A0092B-C50C-407E-A947-70E740481C1C}">
                          <a14:useLocalDpi xmlns:a14="http://schemas.microsoft.com/office/drawing/2010/main" val="0"/>
                        </a:ext>
                      </a:extLst>
                    </a:blip>
                    <a:stretch>
                      <a:fillRect/>
                    </a:stretch>
                  </pic:blipFill>
                  <pic:spPr>
                    <a:xfrm>
                      <a:off x="0" y="0"/>
                      <a:ext cx="5400040" cy="18415"/>
                    </a:xfrm>
                    <a:prstGeom prst="rect">
                      <a:avLst/>
                    </a:prstGeom>
                  </pic:spPr>
                </pic:pic>
              </a:graphicData>
            </a:graphic>
          </wp:inline>
        </w:drawing>
      </w:r>
    </w:p>
    <w:p w:rsidR="00B92EF2" w:rsidRPr="00732120" w:rsidRDefault="00B93184" w:rsidP="00732120">
      <w:pPr>
        <w:pStyle w:val="ListParagraph"/>
        <w:numPr>
          <w:ilvl w:val="0"/>
          <w:numId w:val="11"/>
        </w:numPr>
        <w:ind w:left="284" w:hanging="284"/>
        <w:rPr>
          <w:rFonts w:ascii="Open Sans" w:hAnsi="Open Sans" w:cs="Open Sans"/>
          <w:color w:val="A70B2C"/>
          <w:sz w:val="28"/>
          <w:szCs w:val="28"/>
          <w:lang w:val="en-US"/>
        </w:rPr>
      </w:pPr>
      <w:r w:rsidRPr="00732120">
        <w:rPr>
          <w:rFonts w:ascii="Open Sans" w:hAnsi="Open Sans" w:cs="Open Sans"/>
          <w:color w:val="A70B2C"/>
          <w:sz w:val="28"/>
          <w:szCs w:val="28"/>
          <w:lang w:val="en-US"/>
        </w:rPr>
        <w:t>Geological risks</w:t>
      </w:r>
    </w:p>
    <w:p w:rsidR="00732120" w:rsidRDefault="00B93184" w:rsidP="004E050E">
      <w:pPr>
        <w:jc w:val="both"/>
        <w:rPr>
          <w:rFonts w:ascii="Open Sans" w:hAnsi="Open Sans" w:cs="Open Sans"/>
          <w:sz w:val="20"/>
          <w:szCs w:val="20"/>
          <w:lang w:val="en-GB"/>
        </w:rPr>
      </w:pPr>
      <w:r w:rsidRPr="00DB7AD0">
        <w:rPr>
          <w:rFonts w:ascii="Open Sans" w:hAnsi="Open Sans" w:cs="Open Sans"/>
          <w:sz w:val="20"/>
          <w:szCs w:val="20"/>
          <w:lang w:val="en-GB"/>
        </w:rPr>
        <w:t xml:space="preserve">As noted, risks are merely the </w:t>
      </w:r>
      <w:r w:rsidRPr="00DB7AD0">
        <w:rPr>
          <w:rFonts w:ascii="Open Sans" w:hAnsi="Open Sans" w:cs="Open Sans"/>
          <w:i/>
          <w:sz w:val="20"/>
          <w:szCs w:val="20"/>
          <w:lang w:val="en-GB"/>
        </w:rPr>
        <w:t>foreseeable implications</w:t>
      </w:r>
      <w:r w:rsidRPr="00DB7AD0">
        <w:rPr>
          <w:rFonts w:ascii="Open Sans" w:hAnsi="Open Sans" w:cs="Open Sans"/>
          <w:sz w:val="20"/>
          <w:szCs w:val="20"/>
          <w:lang w:val="en-GB"/>
        </w:rPr>
        <w:t xml:space="preserve"> of the future occurrence of a hazardous event, while losses may entail more than that. Experience has shown that after natural episodes, cause and effect can rarely be univocally and unequivocally related without resorting to the study of case histories and cascade effects. Lava flows, ash rain and explosions may be observed during volcanic eruptions, for instance. Similarly, if a very shallow, high magnitude earthquake strikes in a steeply sloped area comprising unstable </w:t>
      </w:r>
      <w:proofErr w:type="gramStart"/>
      <w:r w:rsidRPr="00DB7AD0">
        <w:rPr>
          <w:rFonts w:ascii="Open Sans" w:hAnsi="Open Sans" w:cs="Open Sans"/>
          <w:sz w:val="20"/>
          <w:szCs w:val="20"/>
          <w:lang w:val="en-GB"/>
        </w:rPr>
        <w:t>materials,</w:t>
      </w:r>
      <w:proofErr w:type="gramEnd"/>
      <w:r w:rsidRPr="00DB7AD0">
        <w:rPr>
          <w:rFonts w:ascii="Open Sans" w:hAnsi="Open Sans" w:cs="Open Sans"/>
          <w:sz w:val="20"/>
          <w:szCs w:val="20"/>
          <w:lang w:val="en-GB"/>
        </w:rPr>
        <w:t xml:space="preserve"> it is unthinkable not to expect landslides. A flood consisting only of the submergence of normally dry land would be an exception, for these events generally go hand-in-hand with river bank and subsoil erosion, changes in the course of the river and sedimentation. Moreover, natural hazards do not always constitute a problem per se, but trigger other adverse situations: one recent example is the 2011 nuclear disaster in Japan, caused by a tsunami that was set off by an earthquake. </w:t>
      </w:r>
    </w:p>
    <w:p w:rsidR="00B93184" w:rsidRPr="00DB7AD0" w:rsidRDefault="00B93184" w:rsidP="004E050E">
      <w:pPr>
        <w:jc w:val="both"/>
        <w:rPr>
          <w:rFonts w:ascii="Open Sans" w:hAnsi="Open Sans" w:cs="Open Sans"/>
          <w:sz w:val="20"/>
          <w:szCs w:val="20"/>
          <w:lang w:val="en-GB"/>
        </w:rPr>
      </w:pPr>
      <w:r w:rsidRPr="00DB7AD0">
        <w:rPr>
          <w:rFonts w:ascii="Open Sans" w:hAnsi="Open Sans" w:cs="Open Sans"/>
          <w:sz w:val="20"/>
          <w:szCs w:val="20"/>
          <w:lang w:val="en-GB"/>
        </w:rPr>
        <w:t>Cascade effects are events in which an apparently minor occurrence gives rise to a second with feedback effects, such as the spread of fires after earthquakes.</w:t>
      </w:r>
    </w:p>
    <w:p w:rsidR="00B93184" w:rsidRDefault="00B93184" w:rsidP="00B93184">
      <w:pPr>
        <w:jc w:val="both"/>
        <w:rPr>
          <w:rFonts w:ascii="Open Sans" w:hAnsi="Open Sans" w:cs="Open Sans"/>
          <w:sz w:val="20"/>
          <w:szCs w:val="20"/>
          <w:lang w:val="en-GB"/>
        </w:rPr>
      </w:pPr>
      <w:r w:rsidRPr="00DB7AD0">
        <w:rPr>
          <w:rFonts w:ascii="Open Sans" w:hAnsi="Open Sans" w:cs="Open Sans"/>
          <w:sz w:val="20"/>
          <w:szCs w:val="20"/>
          <w:lang w:val="en-GB"/>
        </w:rPr>
        <w:lastRenderedPageBreak/>
        <w:t xml:space="preserve">Natural hazards are studied for a sole purpose: </w:t>
      </w:r>
      <w:r w:rsidRPr="00DB7AD0">
        <w:rPr>
          <w:rFonts w:ascii="Open Sans" w:hAnsi="Open Sans" w:cs="Open Sans"/>
          <w:i/>
          <w:sz w:val="20"/>
          <w:szCs w:val="20"/>
          <w:lang w:val="en-GB"/>
        </w:rPr>
        <w:t>to reduce natural risks</w:t>
      </w:r>
      <w:r w:rsidRPr="00DB7AD0">
        <w:rPr>
          <w:rFonts w:ascii="Open Sans" w:hAnsi="Open Sans" w:cs="Open Sans"/>
          <w:sz w:val="20"/>
          <w:szCs w:val="20"/>
          <w:lang w:val="en-GB"/>
        </w:rPr>
        <w:t xml:space="preserve">. Meeting that objective calls for working to a series of premises, such as limiting the number of factors to be studied or their spatial and temporal scope. Risk studies necessarily address three factors through which the limitations imposed to reach a reasonable, well thought-out, numerical and rigorous conclusion about expected losses must be addressed.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495"/>
        <w:gridCol w:w="3225"/>
      </w:tblGrid>
      <w:tr w:rsidR="00B92EF2" w:rsidTr="00B92EF2">
        <w:trPr>
          <w:trHeight w:val="3149"/>
        </w:trPr>
        <w:tc>
          <w:tcPr>
            <w:tcW w:w="5495" w:type="dxa"/>
            <w:vMerge w:val="restart"/>
          </w:tcPr>
          <w:p w:rsidR="00B93184" w:rsidRPr="00DB7AD0" w:rsidRDefault="00B93184" w:rsidP="00B36D8B">
            <w:pPr>
              <w:ind w:right="176"/>
              <w:jc w:val="both"/>
              <w:rPr>
                <w:rFonts w:ascii="Open Sans" w:hAnsi="Open Sans" w:cs="Open Sans"/>
                <w:sz w:val="20"/>
                <w:szCs w:val="20"/>
                <w:lang w:val="en-GB"/>
              </w:rPr>
            </w:pPr>
            <w:r w:rsidRPr="00DB7AD0">
              <w:rPr>
                <w:rFonts w:ascii="Open Sans" w:hAnsi="Open Sans" w:cs="Open Sans"/>
                <w:sz w:val="20"/>
                <w:szCs w:val="20"/>
                <w:lang w:val="en-GB"/>
              </w:rPr>
              <w:t xml:space="preserve">These three factors are: hazard (H, or study of the hazardous process), exposure (E, or study of the value of the elements that may potentially be impacted by a hazardous process) and vulnerability (V or study of the relationship between loss and total value of the element exposed to a given hazard). These three elements are generally accepted to be inter-related as follows: R=H*E*V. The absence of any one of the terms in this equation would yield incorrect “risk stoichiometry”, i.e., an apparent inconsistency in the definitions or a change in paradigm to reach a qualitative or partial solution to the risk equation. This approach is often adopted in light of the difficulty involved in solving the full equation. The essential term is H, hazard, for it defines exposure, E, from the spatial perspective. In other words, it identifies what would be subject to a hazard, and is the basis for calculating vulnerability, V, elements needed to determine the amount and type of impact and hence to </w:t>
            </w:r>
            <w:proofErr w:type="spellStart"/>
            <w:r w:rsidRPr="00DB7AD0">
              <w:rPr>
                <w:rFonts w:ascii="Open Sans" w:hAnsi="Open Sans" w:cs="Open Sans"/>
                <w:sz w:val="20"/>
                <w:szCs w:val="20"/>
                <w:lang w:val="en-GB"/>
              </w:rPr>
              <w:t>asses</w:t>
            </w:r>
            <w:proofErr w:type="spellEnd"/>
            <w:r w:rsidRPr="00DB7AD0">
              <w:rPr>
                <w:rFonts w:ascii="Open Sans" w:hAnsi="Open Sans" w:cs="Open Sans"/>
                <w:sz w:val="20"/>
                <w:szCs w:val="20"/>
                <w:lang w:val="en-GB"/>
              </w:rPr>
              <w:t xml:space="preserve"> the damage ratio. In the case at issue, the CCS is not liable for everything that is exposed (Figure 1), but only for the insured portion. In the Canary Islands, 70 % of all property and goods have some insurance cover.</w:t>
            </w:r>
          </w:p>
          <w:p w:rsidR="00B92EF2" w:rsidRPr="00B93184" w:rsidRDefault="00B92EF2" w:rsidP="0018369F">
            <w:pPr>
              <w:jc w:val="both"/>
              <w:rPr>
                <w:rFonts w:ascii="Open Sans" w:hAnsi="Open Sans" w:cs="Open Sans"/>
                <w:sz w:val="20"/>
                <w:szCs w:val="20"/>
                <w:lang w:val="en-GB"/>
              </w:rPr>
            </w:pPr>
          </w:p>
        </w:tc>
        <w:tc>
          <w:tcPr>
            <w:tcW w:w="3225" w:type="dxa"/>
            <w:shd w:val="clear" w:color="auto" w:fill="F2F2F2" w:themeFill="background1" w:themeFillShade="F2"/>
          </w:tcPr>
          <w:p w:rsidR="00B92EF2" w:rsidRPr="00B93184" w:rsidRDefault="00B92EF2" w:rsidP="00B92EF2">
            <w:pPr>
              <w:rPr>
                <w:rFonts w:ascii="Open Sans" w:hAnsi="Open Sans" w:cs="Open Sans"/>
                <w:sz w:val="20"/>
                <w:szCs w:val="20"/>
                <w:lang w:val="en-US"/>
              </w:rPr>
            </w:pPr>
          </w:p>
          <w:p w:rsidR="00B92EF2" w:rsidRPr="00B93184" w:rsidRDefault="00B92EF2" w:rsidP="00B92EF2">
            <w:pPr>
              <w:rPr>
                <w:rFonts w:ascii="Open Sans" w:hAnsi="Open Sans" w:cs="Open Sans"/>
                <w:sz w:val="20"/>
                <w:szCs w:val="20"/>
                <w:lang w:val="en-US"/>
              </w:rPr>
            </w:pPr>
          </w:p>
          <w:p w:rsidR="00B92EF2" w:rsidRDefault="00B92EF2" w:rsidP="00B92EF2">
            <w:pPr>
              <w:rPr>
                <w:rFonts w:ascii="Open Sans" w:hAnsi="Open Sans" w:cs="Open Sans"/>
                <w:sz w:val="20"/>
                <w:szCs w:val="20"/>
              </w:rPr>
            </w:pPr>
            <w:r>
              <w:rPr>
                <w:rFonts w:ascii="Open Sans" w:hAnsi="Open Sans" w:cs="Open Sans"/>
                <w:noProof/>
                <w:sz w:val="20"/>
                <w:szCs w:val="20"/>
                <w:lang w:eastAsia="es-ES"/>
              </w:rPr>
              <w:drawing>
                <wp:inline distT="0" distB="0" distL="0" distR="0" wp14:anchorId="0E6B954A" wp14:editId="504AE36A">
                  <wp:extent cx="1927828" cy="1504950"/>
                  <wp:effectExtent l="0" t="0" r="0" b="0"/>
                  <wp:docPr id="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a_1_GEOMEP.png"/>
                          <pic:cNvPicPr/>
                        </pic:nvPicPr>
                        <pic:blipFill>
                          <a:blip r:embed="rId10">
                            <a:extLst>
                              <a:ext uri="{28A0092B-C50C-407E-A947-70E740481C1C}">
                                <a14:useLocalDpi xmlns:a14="http://schemas.microsoft.com/office/drawing/2010/main" val="0"/>
                              </a:ext>
                            </a:extLst>
                          </a:blip>
                          <a:stretch>
                            <a:fillRect/>
                          </a:stretch>
                        </pic:blipFill>
                        <pic:spPr>
                          <a:xfrm>
                            <a:off x="0" y="0"/>
                            <a:ext cx="1930012" cy="1506655"/>
                          </a:xfrm>
                          <a:prstGeom prst="rect">
                            <a:avLst/>
                          </a:prstGeom>
                        </pic:spPr>
                      </pic:pic>
                    </a:graphicData>
                  </a:graphic>
                </wp:inline>
              </w:drawing>
            </w:r>
          </w:p>
        </w:tc>
      </w:tr>
      <w:tr w:rsidR="00B92EF2" w:rsidRPr="00732120" w:rsidTr="00B92EF2">
        <w:trPr>
          <w:trHeight w:val="2708"/>
        </w:trPr>
        <w:tc>
          <w:tcPr>
            <w:tcW w:w="5495" w:type="dxa"/>
            <w:vMerge/>
          </w:tcPr>
          <w:p w:rsidR="00B92EF2" w:rsidRPr="00B92EF2" w:rsidRDefault="00B92EF2" w:rsidP="00B92EF2">
            <w:pPr>
              <w:rPr>
                <w:rFonts w:ascii="Open Sans" w:hAnsi="Open Sans" w:cs="Open Sans"/>
                <w:sz w:val="20"/>
                <w:szCs w:val="20"/>
              </w:rPr>
            </w:pPr>
          </w:p>
        </w:tc>
        <w:tc>
          <w:tcPr>
            <w:tcW w:w="3225" w:type="dxa"/>
            <w:shd w:val="clear" w:color="auto" w:fill="F2F2F2" w:themeFill="background1" w:themeFillShade="F2"/>
          </w:tcPr>
          <w:p w:rsidR="00B93184" w:rsidRDefault="00B93184" w:rsidP="00B93184">
            <w:pPr>
              <w:keepLines/>
              <w:jc w:val="both"/>
              <w:rPr>
                <w:rFonts w:ascii="Open Sans" w:hAnsi="Open Sans" w:cs="Open Sans"/>
                <w:i/>
                <w:sz w:val="20"/>
                <w:szCs w:val="20"/>
                <w:lang w:val="en-GB" w:eastAsia="es-ES"/>
              </w:rPr>
            </w:pPr>
            <w:r w:rsidRPr="00B93184">
              <w:rPr>
                <w:rFonts w:ascii="Open Sans" w:hAnsi="Open Sans" w:cs="Open Sans"/>
                <w:i/>
                <w:sz w:val="20"/>
                <w:szCs w:val="20"/>
                <w:lang w:val="en-GB" w:eastAsia="es-ES"/>
              </w:rPr>
              <w:t>Figure 1.</w:t>
            </w:r>
            <w:r w:rsidRPr="00B93184">
              <w:rPr>
                <w:rFonts w:ascii="Open Sans" w:hAnsi="Open Sans" w:cs="Open Sans"/>
                <w:i/>
                <w:noProof/>
                <w:sz w:val="20"/>
                <w:szCs w:val="20"/>
                <w:lang w:val="en-GB" w:eastAsia="es-ES"/>
              </w:rPr>
              <w:t xml:space="preserve"> </w:t>
            </w:r>
            <w:r w:rsidRPr="00B93184">
              <w:rPr>
                <w:rFonts w:ascii="Open Sans" w:hAnsi="Open Sans" w:cs="Open Sans"/>
                <w:i/>
                <w:sz w:val="20"/>
                <w:szCs w:val="20"/>
                <w:lang w:val="en-GB" w:eastAsia="es-ES"/>
              </w:rPr>
              <w:t xml:space="preserve">The first object of risk research is hazard (H; 1, flooding for instance), which determines what may be affected (E, homes, cars) to what extent (V; 2, 3: partial, total) and whether or not liability for insurance </w:t>
            </w:r>
            <w:proofErr w:type="spellStart"/>
            <w:r w:rsidRPr="00B93184">
              <w:rPr>
                <w:rFonts w:ascii="Open Sans" w:hAnsi="Open Sans" w:cs="Open Sans"/>
                <w:i/>
                <w:sz w:val="20"/>
                <w:szCs w:val="20"/>
                <w:lang w:val="en-GB" w:eastAsia="es-ES"/>
              </w:rPr>
              <w:t>compen</w:t>
            </w:r>
            <w:r w:rsidR="00B36D8B">
              <w:rPr>
                <w:rFonts w:ascii="Open Sans" w:hAnsi="Open Sans" w:cs="Open Sans"/>
                <w:i/>
                <w:sz w:val="20"/>
                <w:szCs w:val="20"/>
                <w:lang w:val="en-GB" w:eastAsia="es-ES"/>
              </w:rPr>
              <w:t>-</w:t>
            </w:r>
            <w:r w:rsidRPr="00B93184">
              <w:rPr>
                <w:rFonts w:ascii="Open Sans" w:hAnsi="Open Sans" w:cs="Open Sans"/>
                <w:i/>
                <w:sz w:val="20"/>
                <w:szCs w:val="20"/>
                <w:lang w:val="en-GB" w:eastAsia="es-ES"/>
              </w:rPr>
              <w:t>sation</w:t>
            </w:r>
            <w:proofErr w:type="spellEnd"/>
            <w:r w:rsidRPr="00B93184">
              <w:rPr>
                <w:rFonts w:ascii="Open Sans" w:hAnsi="Open Sans" w:cs="Open Sans"/>
                <w:i/>
                <w:sz w:val="20"/>
                <w:szCs w:val="20"/>
                <w:lang w:val="en-GB" w:eastAsia="es-ES"/>
              </w:rPr>
              <w:t xml:space="preserve"> would be incurred.</w:t>
            </w:r>
          </w:p>
          <w:p w:rsidR="00B36D8B" w:rsidRPr="00B93184" w:rsidRDefault="00B36D8B" w:rsidP="00B93184">
            <w:pPr>
              <w:keepLines/>
              <w:jc w:val="both"/>
              <w:rPr>
                <w:rFonts w:ascii="Open Sans" w:hAnsi="Open Sans" w:cs="Open Sans"/>
                <w:i/>
                <w:sz w:val="20"/>
                <w:szCs w:val="20"/>
                <w:lang w:val="en-GB"/>
              </w:rPr>
            </w:pPr>
          </w:p>
          <w:p w:rsidR="00B92EF2" w:rsidRPr="00B93184" w:rsidRDefault="00B92EF2" w:rsidP="0018369F">
            <w:pPr>
              <w:jc w:val="both"/>
              <w:rPr>
                <w:rFonts w:ascii="Open Sans" w:hAnsi="Open Sans" w:cs="Open Sans"/>
                <w:i/>
                <w:sz w:val="20"/>
                <w:szCs w:val="20"/>
                <w:lang w:val="en-GB"/>
              </w:rPr>
            </w:pPr>
          </w:p>
        </w:tc>
      </w:tr>
    </w:tbl>
    <w:p w:rsidR="00732120" w:rsidRPr="00B36D8B" w:rsidRDefault="00B92EF2" w:rsidP="00B92EF2">
      <w:pPr>
        <w:rPr>
          <w:rFonts w:ascii="Open Sans" w:hAnsi="Open Sans" w:cs="Open Sans"/>
          <w:sz w:val="20"/>
          <w:szCs w:val="20"/>
          <w:lang w:val="en-US"/>
        </w:rPr>
      </w:pPr>
      <w:r>
        <w:rPr>
          <w:rFonts w:ascii="Open Sans" w:hAnsi="Open Sans" w:cs="Open Sans"/>
          <w:noProof/>
          <w:sz w:val="20"/>
          <w:szCs w:val="20"/>
          <w:lang w:eastAsia="es-ES"/>
        </w:rPr>
        <w:drawing>
          <wp:inline distT="0" distB="0" distL="0" distR="0">
            <wp:extent cx="5400040" cy="18415"/>
            <wp:effectExtent l="0" t="0" r="0" b="635"/>
            <wp:docPr id="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parador.png"/>
                    <pic:cNvPicPr/>
                  </pic:nvPicPr>
                  <pic:blipFill>
                    <a:blip r:embed="rId9">
                      <a:extLst>
                        <a:ext uri="{28A0092B-C50C-407E-A947-70E740481C1C}">
                          <a14:useLocalDpi xmlns:a14="http://schemas.microsoft.com/office/drawing/2010/main" val="0"/>
                        </a:ext>
                      </a:extLst>
                    </a:blip>
                    <a:stretch>
                      <a:fillRect/>
                    </a:stretch>
                  </pic:blipFill>
                  <pic:spPr>
                    <a:xfrm>
                      <a:off x="0" y="0"/>
                      <a:ext cx="5400040" cy="18415"/>
                    </a:xfrm>
                    <a:prstGeom prst="rect">
                      <a:avLst/>
                    </a:prstGeom>
                  </pic:spPr>
                </pic:pic>
              </a:graphicData>
            </a:graphic>
          </wp:inline>
        </w:drawing>
      </w:r>
    </w:p>
    <w:p w:rsidR="00B93184" w:rsidRPr="00732120" w:rsidRDefault="00B93184" w:rsidP="00732120">
      <w:pPr>
        <w:pStyle w:val="ListParagraph"/>
        <w:numPr>
          <w:ilvl w:val="0"/>
          <w:numId w:val="11"/>
        </w:numPr>
        <w:ind w:left="284" w:hanging="284"/>
        <w:jc w:val="both"/>
        <w:rPr>
          <w:rFonts w:ascii="Open Sans" w:hAnsi="Open Sans" w:cs="Open Sans"/>
          <w:color w:val="A70B2C"/>
          <w:sz w:val="28"/>
          <w:szCs w:val="28"/>
          <w:lang w:val="en-US"/>
        </w:rPr>
      </w:pPr>
      <w:r w:rsidRPr="00732120">
        <w:rPr>
          <w:rFonts w:ascii="Open Sans" w:hAnsi="Open Sans" w:cs="Open Sans"/>
          <w:color w:val="A70B2C"/>
          <w:sz w:val="28"/>
          <w:szCs w:val="28"/>
          <w:lang w:val="en-GB"/>
        </w:rPr>
        <w:t>The method: flooding, seismicity and volcanism</w:t>
      </w:r>
      <w:r w:rsidRPr="00732120">
        <w:rPr>
          <w:rFonts w:ascii="Open Sans" w:hAnsi="Open Sans" w:cs="Open Sans"/>
          <w:color w:val="A70B2C"/>
          <w:sz w:val="28"/>
          <w:szCs w:val="28"/>
          <w:lang w:val="en-US"/>
        </w:rPr>
        <w:t xml:space="preserve"> </w:t>
      </w:r>
    </w:p>
    <w:p w:rsidR="00B93184" w:rsidRPr="00DB7AD0" w:rsidRDefault="00B93184" w:rsidP="004E050E">
      <w:pPr>
        <w:jc w:val="both"/>
        <w:rPr>
          <w:rFonts w:ascii="Open Sans" w:hAnsi="Open Sans" w:cs="Open Sans"/>
          <w:sz w:val="20"/>
          <w:szCs w:val="20"/>
          <w:lang w:val="en-GB"/>
        </w:rPr>
      </w:pPr>
      <w:r w:rsidRPr="00DB7AD0">
        <w:rPr>
          <w:rFonts w:ascii="Open Sans" w:hAnsi="Open Sans" w:cs="Open Sans"/>
          <w:sz w:val="20"/>
          <w:szCs w:val="20"/>
          <w:lang w:val="en-GB"/>
        </w:rPr>
        <w:t>While the use of the data on record, if any, to assess future consequences is tempting, it has proven to be a vain exercise, due both to the particular nature of (and cascade effects related to) specific events and to the speedy change to which an area’s economic, social and natural variables are subject. The hazard calculated for a series of past events is not correlated to the damage recorded. Nonetheless, when the variables space, time, exposure and vulnerability are fixed and only hazard varies, the resulting curve trends non-linearly upward, with thresholds, such as the “desk effect” in floods</w:t>
      </w:r>
      <w:r w:rsidR="005A2C0B">
        <w:rPr>
          <w:rStyle w:val="FootnoteReference"/>
          <w:rFonts w:ascii="Open Sans" w:hAnsi="Open Sans" w:cs="Open Sans"/>
          <w:sz w:val="20"/>
          <w:szCs w:val="20"/>
          <w:vertAlign w:val="baseline"/>
          <w:lang w:val="en-GB"/>
        </w:rPr>
        <w:t xml:space="preserve"> </w:t>
      </w:r>
      <w:r w:rsidR="005A2C0B" w:rsidRPr="005A2C0B">
        <w:rPr>
          <w:rStyle w:val="FootnoteReference"/>
          <w:rFonts w:ascii="Open Sans" w:hAnsi="Open Sans" w:cs="Open Sans"/>
          <w:color w:val="A70B2C"/>
          <w:sz w:val="20"/>
          <w:szCs w:val="20"/>
          <w:vertAlign w:val="baseline"/>
          <w:lang w:val="en-GB"/>
        </w:rPr>
        <w:t>(2)</w:t>
      </w:r>
      <w:r w:rsidRPr="005A2C0B">
        <w:rPr>
          <w:rFonts w:ascii="Open Sans" w:hAnsi="Open Sans" w:cs="Open Sans"/>
          <w:color w:val="A70B2C"/>
          <w:sz w:val="20"/>
          <w:szCs w:val="20"/>
          <w:lang w:val="en-GB"/>
        </w:rPr>
        <w:t>.</w:t>
      </w:r>
    </w:p>
    <w:p w:rsidR="00B93184" w:rsidRPr="00DB7AD0" w:rsidRDefault="00B93184" w:rsidP="00B93184">
      <w:pPr>
        <w:jc w:val="both"/>
        <w:rPr>
          <w:rFonts w:ascii="Open Sans" w:hAnsi="Open Sans" w:cs="Open Sans"/>
          <w:sz w:val="20"/>
          <w:szCs w:val="20"/>
          <w:lang w:val="en-GB"/>
        </w:rPr>
      </w:pPr>
      <w:r w:rsidRPr="00DB7AD0">
        <w:rPr>
          <w:rFonts w:ascii="Open Sans" w:hAnsi="Open Sans" w:cs="Open Sans"/>
          <w:sz w:val="20"/>
          <w:szCs w:val="20"/>
          <w:lang w:val="en-GB"/>
        </w:rPr>
        <w:t xml:space="preserve">Solving the risk equation is no trivial matter, and the first obstacle to surmount is data availability. If a natural hazard database were in place, the task would be far easier, for this is the area where most of the limitations arise. </w:t>
      </w:r>
      <w:proofErr w:type="gramStart"/>
      <w:r w:rsidRPr="00DB7AD0">
        <w:rPr>
          <w:rFonts w:ascii="Open Sans" w:hAnsi="Open Sans" w:cs="Open Sans"/>
          <w:sz w:val="20"/>
          <w:szCs w:val="20"/>
          <w:lang w:val="en-GB"/>
        </w:rPr>
        <w:t>From there on, as much complexity may be introduced into the study as required in each case, pondering matters such as direct or indirect damage, social or structural topology or cascade effects.</w:t>
      </w:r>
      <w:proofErr w:type="gramEnd"/>
      <w:r w:rsidRPr="00DB7AD0">
        <w:rPr>
          <w:rFonts w:ascii="Open Sans" w:hAnsi="Open Sans" w:cs="Open Sans"/>
          <w:sz w:val="20"/>
          <w:szCs w:val="20"/>
          <w:lang w:val="en-GB"/>
        </w:rPr>
        <w:t xml:space="preserve"> The number of variables </w:t>
      </w:r>
      <w:r w:rsidRPr="00DB7AD0">
        <w:rPr>
          <w:rFonts w:ascii="Open Sans" w:hAnsi="Open Sans" w:cs="Open Sans"/>
          <w:sz w:val="20"/>
          <w:szCs w:val="20"/>
          <w:lang w:val="en-GB"/>
        </w:rPr>
        <w:lastRenderedPageBreak/>
        <w:t>and considerations to be included in risk studies, as well as the demand for such studies and society’s capacity to contend with the uncertainties associated with the calculations involved, grow as science, technology and society in general move forward.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8644"/>
      </w:tblGrid>
      <w:tr w:rsidR="008A7CC4" w:rsidRPr="00732120" w:rsidTr="008A7CC4">
        <w:tc>
          <w:tcPr>
            <w:tcW w:w="8644" w:type="dxa"/>
            <w:shd w:val="clear" w:color="auto" w:fill="F2F2F2" w:themeFill="background1" w:themeFillShade="F2"/>
          </w:tcPr>
          <w:p w:rsidR="008A7CC4" w:rsidRPr="00B93184" w:rsidRDefault="008A7CC4" w:rsidP="009E67F5">
            <w:pPr>
              <w:ind w:right="206"/>
              <w:rPr>
                <w:rFonts w:ascii="Open Sans" w:hAnsi="Open Sans" w:cs="Open Sans"/>
                <w:sz w:val="20"/>
                <w:szCs w:val="20"/>
                <w:lang w:val="en-GB"/>
              </w:rPr>
            </w:pPr>
          </w:p>
          <w:p w:rsidR="00B93184" w:rsidRDefault="00B93184" w:rsidP="00B36D8B">
            <w:pPr>
              <w:ind w:left="142" w:right="206"/>
              <w:jc w:val="both"/>
              <w:rPr>
                <w:rFonts w:ascii="Open Sans" w:hAnsi="Open Sans" w:cs="Open Sans"/>
                <w:sz w:val="20"/>
                <w:szCs w:val="20"/>
                <w:lang w:val="en-GB"/>
              </w:rPr>
            </w:pPr>
            <w:r w:rsidRPr="00DB7AD0">
              <w:rPr>
                <w:rFonts w:ascii="Open Sans" w:hAnsi="Open Sans" w:cs="Open Sans"/>
                <w:sz w:val="20"/>
                <w:szCs w:val="20"/>
                <w:lang w:val="en-GB"/>
              </w:rPr>
              <w:t>With all that in mind, the IGME, pursuant to its agreement with the CCS, has developed a method to fully solve the risk equation in a manner that, while balanced, is not wholly free of uncertainties and limitations, as listed below.</w:t>
            </w:r>
          </w:p>
          <w:p w:rsidR="00B93184" w:rsidRPr="00DB7AD0" w:rsidRDefault="00B93184" w:rsidP="00B36D8B">
            <w:pPr>
              <w:ind w:right="206"/>
              <w:jc w:val="both"/>
              <w:rPr>
                <w:rFonts w:ascii="Open Sans" w:hAnsi="Open Sans" w:cs="Open Sans"/>
                <w:sz w:val="20"/>
                <w:szCs w:val="20"/>
                <w:lang w:val="en-GB"/>
              </w:rPr>
            </w:pPr>
          </w:p>
          <w:p w:rsidR="00B93184" w:rsidRPr="00DB7AD0" w:rsidRDefault="00B93184" w:rsidP="00B36D8B">
            <w:pPr>
              <w:numPr>
                <w:ilvl w:val="0"/>
                <w:numId w:val="5"/>
              </w:numPr>
              <w:ind w:right="206"/>
              <w:jc w:val="both"/>
              <w:rPr>
                <w:rFonts w:ascii="Open Sans" w:hAnsi="Open Sans" w:cs="Open Sans"/>
                <w:sz w:val="20"/>
                <w:szCs w:val="20"/>
                <w:lang w:val="en-GB"/>
              </w:rPr>
            </w:pPr>
            <w:r w:rsidRPr="00DB7AD0">
              <w:rPr>
                <w:rFonts w:ascii="Open Sans" w:hAnsi="Open Sans" w:cs="Open Sans"/>
                <w:sz w:val="20"/>
                <w:szCs w:val="20"/>
                <w:lang w:val="en-GB"/>
              </w:rPr>
              <w:t>Limitations to the hazard variable: the processes studied are practically “pure”. The floods considered are concentrated and torrential, associated with riverbeds or ravines and induced by abnormally heavy rainfall; seismicity is tectonic and only the consequences of peak ground acceleration are assessed; and the volcanism hazard study covers only lava flows. The yearly likelihood of occurrence assumed is approximately 0.2 %, a ceiling traditionally specified in a number of Spanish rules and regulations on risks</w:t>
            </w:r>
            <w:r w:rsidR="005A2C0B">
              <w:rPr>
                <w:rFonts w:ascii="Open Sans" w:hAnsi="Open Sans" w:cs="Open Sans"/>
                <w:sz w:val="20"/>
                <w:szCs w:val="20"/>
                <w:lang w:val="en-GB"/>
              </w:rPr>
              <w:t xml:space="preserve"> </w:t>
            </w:r>
            <w:r w:rsidR="005A2C0B" w:rsidRPr="005A2C0B">
              <w:rPr>
                <w:rFonts w:ascii="Open Sans" w:hAnsi="Open Sans" w:cs="Open Sans"/>
                <w:color w:val="A70B2C"/>
                <w:sz w:val="20"/>
                <w:szCs w:val="20"/>
                <w:lang w:val="en-GB"/>
              </w:rPr>
              <w:t>(3)</w:t>
            </w:r>
            <w:r w:rsidRPr="005A2C0B">
              <w:rPr>
                <w:rFonts w:ascii="Open Sans" w:hAnsi="Open Sans" w:cs="Open Sans"/>
                <w:color w:val="A70B2C"/>
                <w:sz w:val="20"/>
                <w:szCs w:val="20"/>
                <w:lang w:val="en-GB"/>
              </w:rPr>
              <w:t>.</w:t>
            </w:r>
          </w:p>
          <w:p w:rsidR="00B93184" w:rsidRPr="00DB7AD0" w:rsidRDefault="00B93184" w:rsidP="00B36D8B">
            <w:pPr>
              <w:numPr>
                <w:ilvl w:val="0"/>
                <w:numId w:val="5"/>
              </w:numPr>
              <w:ind w:right="206"/>
              <w:jc w:val="both"/>
              <w:rPr>
                <w:rFonts w:ascii="Open Sans" w:hAnsi="Open Sans" w:cs="Open Sans"/>
                <w:sz w:val="20"/>
                <w:szCs w:val="20"/>
                <w:lang w:val="en-GB"/>
              </w:rPr>
            </w:pPr>
            <w:r w:rsidRPr="00DB7AD0">
              <w:rPr>
                <w:rFonts w:ascii="Open Sans" w:hAnsi="Open Sans" w:cs="Open Sans"/>
                <w:sz w:val="20"/>
                <w:szCs w:val="20"/>
                <w:lang w:val="en-GB"/>
              </w:rPr>
              <w:t>Limitations to the study of the exposed elements: only direct tangible property damage is considered, and only in monetary terms.</w:t>
            </w:r>
          </w:p>
          <w:p w:rsidR="00B93184" w:rsidRPr="00DB7AD0" w:rsidRDefault="00B93184" w:rsidP="00B36D8B">
            <w:pPr>
              <w:numPr>
                <w:ilvl w:val="0"/>
                <w:numId w:val="5"/>
              </w:numPr>
              <w:ind w:right="206"/>
              <w:jc w:val="both"/>
              <w:rPr>
                <w:rFonts w:ascii="Open Sans" w:hAnsi="Open Sans" w:cs="Open Sans"/>
                <w:sz w:val="20"/>
                <w:szCs w:val="20"/>
                <w:lang w:val="en-GB"/>
              </w:rPr>
            </w:pPr>
            <w:r w:rsidRPr="00DB7AD0">
              <w:rPr>
                <w:rFonts w:ascii="Open Sans" w:hAnsi="Open Sans" w:cs="Open Sans"/>
                <w:sz w:val="20"/>
                <w:szCs w:val="20"/>
                <w:lang w:val="en-GB"/>
              </w:rPr>
              <w:t xml:space="preserve">Limitations concerning vulnerability: vulnerability to flooding and seismicity depends on hazard at each site; in contrast, volcanic vulnerability is assumed to be </w:t>
            </w:r>
            <w:proofErr w:type="gramStart"/>
            <w:r w:rsidRPr="00DB7AD0">
              <w:rPr>
                <w:rFonts w:ascii="Open Sans" w:hAnsi="Open Sans" w:cs="Open Sans"/>
                <w:sz w:val="20"/>
                <w:szCs w:val="20"/>
                <w:lang w:val="en-GB"/>
              </w:rPr>
              <w:t>maximum</w:t>
            </w:r>
            <w:proofErr w:type="gramEnd"/>
            <w:r w:rsidRPr="00DB7AD0">
              <w:rPr>
                <w:rFonts w:ascii="Open Sans" w:hAnsi="Open Sans" w:cs="Open Sans"/>
                <w:sz w:val="20"/>
                <w:szCs w:val="20"/>
                <w:lang w:val="en-GB"/>
              </w:rPr>
              <w:t xml:space="preserve"> throughout.</w:t>
            </w:r>
          </w:p>
          <w:p w:rsidR="008A7CC4" w:rsidRPr="00B93184" w:rsidRDefault="008A7CC4" w:rsidP="0018369F">
            <w:pPr>
              <w:pStyle w:val="ListParagraph"/>
              <w:jc w:val="both"/>
              <w:rPr>
                <w:rFonts w:ascii="Open Sans" w:hAnsi="Open Sans" w:cs="Open Sans"/>
                <w:sz w:val="20"/>
                <w:szCs w:val="20"/>
                <w:lang w:val="en-GB"/>
              </w:rPr>
            </w:pPr>
          </w:p>
          <w:p w:rsidR="008A7CC4" w:rsidRPr="00B93184" w:rsidRDefault="008A7CC4" w:rsidP="008A7CC4">
            <w:pPr>
              <w:pStyle w:val="ListParagraph"/>
              <w:ind w:left="426"/>
              <w:rPr>
                <w:rFonts w:ascii="Open Sans" w:hAnsi="Open Sans" w:cs="Open Sans"/>
                <w:sz w:val="20"/>
                <w:szCs w:val="20"/>
                <w:lang w:val="en-US"/>
              </w:rPr>
            </w:pPr>
          </w:p>
        </w:tc>
      </w:tr>
    </w:tbl>
    <w:p w:rsidR="00B93184" w:rsidRDefault="00B36D8B" w:rsidP="00B92EF2">
      <w:pPr>
        <w:rPr>
          <w:rFonts w:ascii="Open Sans" w:hAnsi="Open Sans" w:cs="Open Sans"/>
          <w:sz w:val="20"/>
          <w:szCs w:val="20"/>
        </w:rPr>
      </w:pPr>
      <w:r w:rsidRPr="009D62E6">
        <w:rPr>
          <w:rFonts w:ascii="Open Sans" w:hAnsi="Open Sans" w:cs="Open Sans"/>
          <w:sz w:val="20"/>
          <w:szCs w:val="20"/>
          <w:lang w:val="en-US"/>
        </w:rPr>
        <w:br/>
      </w:r>
      <w:r w:rsidR="00B93184">
        <w:rPr>
          <w:rFonts w:ascii="Open Sans" w:hAnsi="Open Sans" w:cs="Open Sans"/>
          <w:noProof/>
          <w:sz w:val="20"/>
          <w:szCs w:val="20"/>
          <w:lang w:eastAsia="es-ES"/>
        </w:rPr>
        <w:drawing>
          <wp:inline distT="0" distB="0" distL="0" distR="0" wp14:anchorId="213462A8" wp14:editId="71B98D50">
            <wp:extent cx="5400040" cy="18415"/>
            <wp:effectExtent l="0" t="0" r="0" b="635"/>
            <wp:docPr id="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parador.png"/>
                    <pic:cNvPicPr/>
                  </pic:nvPicPr>
                  <pic:blipFill>
                    <a:blip r:embed="rId9">
                      <a:extLst>
                        <a:ext uri="{28A0092B-C50C-407E-A947-70E740481C1C}">
                          <a14:useLocalDpi xmlns:a14="http://schemas.microsoft.com/office/drawing/2010/main" val="0"/>
                        </a:ext>
                      </a:extLst>
                    </a:blip>
                    <a:stretch>
                      <a:fillRect/>
                    </a:stretch>
                  </pic:blipFill>
                  <pic:spPr>
                    <a:xfrm>
                      <a:off x="0" y="0"/>
                      <a:ext cx="5400040" cy="18415"/>
                    </a:xfrm>
                    <a:prstGeom prst="rect">
                      <a:avLst/>
                    </a:prstGeom>
                  </pic:spPr>
                </pic:pic>
              </a:graphicData>
            </a:graphic>
          </wp:inline>
        </w:drawing>
      </w:r>
    </w:p>
    <w:p w:rsidR="008A7CC4" w:rsidRPr="00732120" w:rsidRDefault="00B93184" w:rsidP="00732120">
      <w:pPr>
        <w:pStyle w:val="ListParagraph"/>
        <w:numPr>
          <w:ilvl w:val="0"/>
          <w:numId w:val="11"/>
        </w:numPr>
        <w:ind w:left="284" w:hanging="284"/>
        <w:rPr>
          <w:rFonts w:ascii="Open Sans" w:hAnsi="Open Sans" w:cs="Open Sans"/>
          <w:color w:val="A70B2C"/>
          <w:sz w:val="28"/>
          <w:szCs w:val="28"/>
          <w:lang w:val="en-US"/>
        </w:rPr>
      </w:pPr>
      <w:r w:rsidRPr="00732120">
        <w:rPr>
          <w:rFonts w:ascii="Open Sans" w:hAnsi="Open Sans" w:cs="Open Sans"/>
          <w:color w:val="A70B2C"/>
          <w:sz w:val="28"/>
          <w:szCs w:val="28"/>
          <w:lang w:val="en-US"/>
        </w:rPr>
        <w:t>Hazard</w:t>
      </w:r>
    </w:p>
    <w:p w:rsidR="00B93184" w:rsidRPr="00DB7AD0" w:rsidRDefault="00B93184" w:rsidP="004E050E">
      <w:pPr>
        <w:jc w:val="both"/>
        <w:rPr>
          <w:rFonts w:ascii="Open Sans" w:hAnsi="Open Sans" w:cs="Open Sans"/>
          <w:sz w:val="20"/>
          <w:szCs w:val="20"/>
          <w:lang w:val="en-GB"/>
        </w:rPr>
      </w:pPr>
      <w:r w:rsidRPr="00DB7AD0">
        <w:rPr>
          <w:rFonts w:ascii="Open Sans" w:hAnsi="Open Sans" w:cs="Open Sans"/>
          <w:sz w:val="20"/>
          <w:szCs w:val="20"/>
          <w:lang w:val="en-GB"/>
        </w:rPr>
        <w:t>Certain features of the study of this first parameter are common to floods, earthquakes and volcanoes, while others are exclusive to each. The three shared pillars are: the application of mathematical models and numerical information, historic information, and geological information. Moreover, all these models and data are integrated into a single geographic information system (GIS).</w:t>
      </w:r>
    </w:p>
    <w:p w:rsidR="00B93184" w:rsidRPr="00DB7AD0" w:rsidRDefault="00B93184" w:rsidP="004E050E">
      <w:pPr>
        <w:jc w:val="both"/>
        <w:rPr>
          <w:rFonts w:ascii="Open Sans" w:hAnsi="Open Sans" w:cs="Open Sans"/>
          <w:sz w:val="20"/>
          <w:szCs w:val="20"/>
          <w:lang w:val="en-GB"/>
        </w:rPr>
      </w:pPr>
      <w:r w:rsidRPr="00DB7AD0">
        <w:rPr>
          <w:rFonts w:ascii="Open Sans" w:hAnsi="Open Sans" w:cs="Open Sans"/>
          <w:sz w:val="20"/>
          <w:szCs w:val="20"/>
          <w:lang w:val="en-GB"/>
        </w:rPr>
        <w:t>The flooded area was determined using historical and geological data in addition to a numerical rainfall/runoff model and a model for determining the extent of flooding. The seismic hazard study of tectonic earthquakes</w:t>
      </w:r>
      <w:r w:rsidR="005A2C0B" w:rsidRPr="005A2C0B">
        <w:rPr>
          <w:rFonts w:ascii="Open Sans" w:hAnsi="Open Sans" w:cs="Open Sans"/>
          <w:color w:val="A70B2C"/>
          <w:sz w:val="20"/>
          <w:szCs w:val="20"/>
          <w:lang w:val="en-GB"/>
        </w:rPr>
        <w:t>(</w:t>
      </w:r>
      <w:r w:rsidR="005A2C0B">
        <w:rPr>
          <w:rFonts w:ascii="Open Sans" w:hAnsi="Open Sans" w:cs="Open Sans"/>
          <w:color w:val="A70B2C"/>
          <w:sz w:val="20"/>
          <w:szCs w:val="20"/>
          <w:lang w:val="en-GB"/>
        </w:rPr>
        <w:t>4</w:t>
      </w:r>
      <w:r w:rsidR="005A2C0B" w:rsidRPr="005A2C0B">
        <w:rPr>
          <w:rFonts w:ascii="Open Sans" w:hAnsi="Open Sans" w:cs="Open Sans"/>
          <w:color w:val="A70B2C"/>
          <w:sz w:val="20"/>
          <w:szCs w:val="20"/>
          <w:lang w:val="en-GB"/>
        </w:rPr>
        <w:t>)</w:t>
      </w:r>
      <w:r w:rsidRPr="005A2C0B">
        <w:rPr>
          <w:rFonts w:ascii="Open Sans" w:hAnsi="Open Sans" w:cs="Open Sans"/>
          <w:color w:val="A70B2C"/>
          <w:sz w:val="20"/>
          <w:szCs w:val="20"/>
          <w:lang w:val="en-GB"/>
        </w:rPr>
        <w:t xml:space="preserve"> </w:t>
      </w:r>
      <w:r w:rsidRPr="00DB7AD0">
        <w:rPr>
          <w:rFonts w:ascii="Open Sans" w:hAnsi="Open Sans" w:cs="Open Sans"/>
          <w:sz w:val="20"/>
          <w:szCs w:val="20"/>
          <w:lang w:val="en-GB"/>
        </w:rPr>
        <w:t xml:space="preserve">used a mathematical model to accommodate attenuation determined by distance and site parameters such as the types of materials involved and land relief. The volcanic hazard study took lava flow properties into consideration, along with the volume of earlier flows, applying a model that assesses the path and extent of future lava flows. </w:t>
      </w:r>
    </w:p>
    <w:p w:rsidR="00B93184" w:rsidRPr="00DB7AD0" w:rsidRDefault="00B93184" w:rsidP="004E050E">
      <w:pPr>
        <w:jc w:val="both"/>
        <w:rPr>
          <w:rFonts w:ascii="Open Sans" w:hAnsi="Open Sans" w:cs="Open Sans"/>
          <w:sz w:val="20"/>
          <w:szCs w:val="20"/>
          <w:lang w:val="en-GB"/>
        </w:rPr>
      </w:pPr>
      <w:r w:rsidRPr="00DB7AD0">
        <w:rPr>
          <w:rFonts w:ascii="Open Sans" w:hAnsi="Open Sans" w:cs="Open Sans"/>
          <w:sz w:val="20"/>
          <w:szCs w:val="20"/>
          <w:lang w:val="en-GB"/>
        </w:rPr>
        <w:t xml:space="preserve">The seismic study conducted was associated with an occurrence in a specific area: a </w:t>
      </w:r>
      <w:proofErr w:type="spellStart"/>
      <w:r w:rsidRPr="00DB7AD0">
        <w:rPr>
          <w:rFonts w:ascii="Open Sans" w:hAnsi="Open Sans" w:cs="Open Sans"/>
          <w:sz w:val="20"/>
          <w:szCs w:val="20"/>
          <w:lang w:val="en-GB"/>
        </w:rPr>
        <w:t>seismogenic</w:t>
      </w:r>
      <w:proofErr w:type="spellEnd"/>
      <w:r w:rsidRPr="00DB7AD0">
        <w:rPr>
          <w:rFonts w:ascii="Open Sans" w:hAnsi="Open Sans" w:cs="Open Sans"/>
          <w:sz w:val="20"/>
          <w:szCs w:val="20"/>
          <w:lang w:val="en-GB"/>
        </w:rPr>
        <w:t xml:space="preserve"> geological structure, i.e., a structure able to generate earthquakes whose effects are propagated across the entire archipelago. As no other structure able to generate sizeable quakes has been identified, the seismic scenario is unique. In flooding and volcanism, however, the study of the area potentially affected involves deploying a model for randomising where rain may fall or a lava vent may open up. While in </w:t>
      </w:r>
      <w:r w:rsidRPr="00DB7AD0">
        <w:rPr>
          <w:rFonts w:ascii="Open Sans" w:hAnsi="Open Sans" w:cs="Open Sans"/>
          <w:sz w:val="20"/>
          <w:szCs w:val="20"/>
          <w:lang w:val="en-GB"/>
        </w:rPr>
        <w:lastRenderedPageBreak/>
        <w:t>earthquakes only one possible event (a unique scenario) with a 0.2 % yearly chance of occurrence is identified, in flooding and volcanism the number of possible scenarios with the same likelihood is, if not infinite, very large and indeterminate because the events modelled, rainfall and lava emission, may take place anywhere on the map. In this study, several scenarios of the same likelihood were assessed with a view to ascertaining maximum loss.</w:t>
      </w:r>
    </w:p>
    <w:p w:rsidR="00B93184" w:rsidRPr="00DB7AD0" w:rsidRDefault="00B93184" w:rsidP="004E050E">
      <w:pPr>
        <w:jc w:val="both"/>
        <w:rPr>
          <w:rFonts w:ascii="Open Sans" w:hAnsi="Open Sans" w:cs="Open Sans"/>
          <w:sz w:val="20"/>
          <w:szCs w:val="20"/>
          <w:lang w:val="en-GB"/>
        </w:rPr>
      </w:pPr>
      <w:r w:rsidRPr="00DB7AD0">
        <w:rPr>
          <w:rFonts w:ascii="Open Sans" w:hAnsi="Open Sans" w:cs="Open Sans"/>
          <w:sz w:val="20"/>
          <w:szCs w:val="20"/>
          <w:lang w:val="en-GB"/>
        </w:rPr>
        <w:t>Severity was another feature dealt with differently in each type of hazard. While in volcanism it was delimited by the path of the lava flow (spatial magnitude), in flooding, in addition to the potentially flood prone area, the depth at each point was factored into the model. For seismicity, severity was determined in terms of the ground acceleration across the archipelago, in turn converted into an intensity estimator</w:t>
      </w:r>
      <w:r w:rsidR="00C652BB" w:rsidRPr="00C652BB">
        <w:rPr>
          <w:rStyle w:val="FootnoteReference"/>
          <w:rFonts w:ascii="Open Sans" w:hAnsi="Open Sans" w:cs="Open Sans"/>
          <w:color w:val="A70B2C"/>
          <w:sz w:val="20"/>
          <w:szCs w:val="20"/>
          <w:vertAlign w:val="baseline"/>
          <w:lang w:val="en-GB"/>
        </w:rPr>
        <w:t>(5)</w:t>
      </w:r>
      <w:r w:rsidRPr="00C652BB">
        <w:rPr>
          <w:rFonts w:ascii="Open Sans" w:hAnsi="Open Sans" w:cs="Open Sans"/>
          <w:color w:val="A70B2C"/>
          <w:sz w:val="20"/>
          <w:szCs w:val="20"/>
          <w:lang w:val="en-GB"/>
        </w:rPr>
        <w:t>.</w:t>
      </w:r>
    </w:p>
    <w:p w:rsidR="00B93184" w:rsidRPr="00DB7AD0" w:rsidRDefault="00B93184" w:rsidP="004E050E">
      <w:pPr>
        <w:jc w:val="both"/>
        <w:rPr>
          <w:rFonts w:ascii="Open Sans" w:hAnsi="Open Sans" w:cs="Open Sans"/>
          <w:sz w:val="20"/>
          <w:szCs w:val="20"/>
          <w:lang w:val="en-GB"/>
        </w:rPr>
      </w:pPr>
      <w:r w:rsidRPr="00DB7AD0">
        <w:rPr>
          <w:rFonts w:ascii="Open Sans" w:hAnsi="Open Sans" w:cs="Open Sans"/>
          <w:sz w:val="20"/>
          <w:szCs w:val="20"/>
          <w:lang w:val="en-GB"/>
        </w:rPr>
        <w:t>The three methods integrated into the flood hazard study are described below (Figure 2).</w:t>
      </w:r>
    </w:p>
    <w:p w:rsidR="00B93184" w:rsidRPr="00DB7AD0" w:rsidRDefault="00B93184" w:rsidP="00B93184">
      <w:pPr>
        <w:numPr>
          <w:ilvl w:val="0"/>
          <w:numId w:val="5"/>
        </w:numPr>
        <w:jc w:val="both"/>
        <w:rPr>
          <w:rFonts w:ascii="Open Sans" w:hAnsi="Open Sans" w:cs="Open Sans"/>
          <w:sz w:val="20"/>
          <w:szCs w:val="20"/>
          <w:lang w:val="en-GB"/>
        </w:rPr>
      </w:pPr>
      <w:r w:rsidRPr="00DB7AD0">
        <w:rPr>
          <w:rFonts w:ascii="Open Sans" w:hAnsi="Open Sans" w:cs="Open Sans"/>
          <w:sz w:val="20"/>
          <w:szCs w:val="20"/>
          <w:lang w:val="en-GB"/>
        </w:rPr>
        <w:t xml:space="preserve">The </w:t>
      </w:r>
      <w:r w:rsidRPr="00732120">
        <w:rPr>
          <w:rFonts w:ascii="Open Sans" w:hAnsi="Open Sans" w:cs="Open Sans"/>
          <w:b/>
          <w:sz w:val="20"/>
          <w:szCs w:val="20"/>
          <w:lang w:val="en-GB"/>
        </w:rPr>
        <w:t>hydrological-hydraulic method</w:t>
      </w:r>
      <w:r w:rsidRPr="00DB7AD0">
        <w:rPr>
          <w:rFonts w:ascii="Open Sans" w:hAnsi="Open Sans" w:cs="Open Sans"/>
          <w:sz w:val="20"/>
          <w:szCs w:val="20"/>
          <w:lang w:val="en-GB"/>
        </w:rPr>
        <w:t xml:space="preserve"> assesses rainfall and its transformation into runoff and flooded areas, which calls for entering the triggering event (intense rainfall) and information on other site-related variables. Since the immediate cause is intense rainfall, a scenario simulator built into the model characterises the mean potential scope of the event in terms of the number of basins affected.</w:t>
      </w:r>
    </w:p>
    <w:p w:rsidR="00B93184" w:rsidRPr="00DB7AD0" w:rsidRDefault="00B93184" w:rsidP="00B93184">
      <w:pPr>
        <w:numPr>
          <w:ilvl w:val="0"/>
          <w:numId w:val="5"/>
        </w:numPr>
        <w:jc w:val="both"/>
        <w:rPr>
          <w:rFonts w:ascii="Open Sans" w:hAnsi="Open Sans" w:cs="Open Sans"/>
          <w:sz w:val="20"/>
          <w:szCs w:val="20"/>
          <w:lang w:val="en-GB"/>
        </w:rPr>
      </w:pPr>
      <w:r w:rsidRPr="00DB7AD0">
        <w:rPr>
          <w:rFonts w:ascii="Open Sans" w:hAnsi="Open Sans" w:cs="Open Sans"/>
          <w:sz w:val="20"/>
          <w:szCs w:val="20"/>
          <w:lang w:val="en-GB"/>
        </w:rPr>
        <w:t xml:space="preserve">The </w:t>
      </w:r>
      <w:r w:rsidRPr="00732120">
        <w:rPr>
          <w:rFonts w:ascii="Open Sans" w:hAnsi="Open Sans" w:cs="Open Sans"/>
          <w:b/>
          <w:sz w:val="20"/>
          <w:szCs w:val="20"/>
          <w:lang w:val="en-GB"/>
        </w:rPr>
        <w:t>historic method draws</w:t>
      </w:r>
      <w:r w:rsidRPr="00DB7AD0">
        <w:rPr>
          <w:rFonts w:ascii="Open Sans" w:hAnsi="Open Sans" w:cs="Open Sans"/>
          <w:sz w:val="20"/>
          <w:szCs w:val="20"/>
          <w:lang w:val="en-GB"/>
        </w:rPr>
        <w:t xml:space="preserve"> from the CCS loss history database to integrate historic information as an additional source of data on flood prone areas.</w:t>
      </w:r>
    </w:p>
    <w:p w:rsidR="00B93184" w:rsidRPr="00DB7AD0" w:rsidRDefault="00B93184" w:rsidP="00B93184">
      <w:pPr>
        <w:numPr>
          <w:ilvl w:val="0"/>
          <w:numId w:val="5"/>
        </w:numPr>
        <w:jc w:val="both"/>
        <w:rPr>
          <w:rFonts w:ascii="Open Sans" w:hAnsi="Open Sans" w:cs="Open Sans"/>
          <w:sz w:val="20"/>
          <w:szCs w:val="20"/>
          <w:lang w:val="en-GB"/>
        </w:rPr>
      </w:pPr>
      <w:r w:rsidRPr="00DB7AD0">
        <w:rPr>
          <w:rFonts w:ascii="Open Sans" w:hAnsi="Open Sans" w:cs="Open Sans"/>
          <w:sz w:val="20"/>
          <w:szCs w:val="20"/>
          <w:lang w:val="en-GB"/>
        </w:rPr>
        <w:t>The</w:t>
      </w:r>
      <w:r w:rsidRPr="00732120">
        <w:rPr>
          <w:rFonts w:ascii="Open Sans" w:hAnsi="Open Sans" w:cs="Open Sans"/>
          <w:b/>
          <w:sz w:val="20"/>
          <w:szCs w:val="20"/>
          <w:lang w:val="en-GB"/>
        </w:rPr>
        <w:t xml:space="preserve"> geological method </w:t>
      </w:r>
      <w:r w:rsidRPr="00DB7AD0">
        <w:rPr>
          <w:rFonts w:ascii="Open Sans" w:hAnsi="Open Sans" w:cs="Open Sans"/>
          <w:sz w:val="20"/>
          <w:szCs w:val="20"/>
          <w:lang w:val="en-GB"/>
        </w:rPr>
        <w:t>supplements the findings of the two preceding methods with geomorphological information, identifying floodplains and improving results.</w:t>
      </w:r>
    </w:p>
    <w:p w:rsidR="00B93184" w:rsidRPr="00DB7AD0" w:rsidRDefault="00B93184" w:rsidP="00B93184">
      <w:pPr>
        <w:jc w:val="both"/>
        <w:rPr>
          <w:rFonts w:ascii="Open Sans" w:hAnsi="Open Sans" w:cs="Open Sans"/>
          <w:sz w:val="20"/>
          <w:szCs w:val="20"/>
          <w:lang w:val="en-GB"/>
        </w:rPr>
      </w:pPr>
      <w:r w:rsidRPr="00DB7AD0">
        <w:rPr>
          <w:rFonts w:ascii="Open Sans" w:hAnsi="Open Sans" w:cs="Open Sans"/>
          <w:sz w:val="20"/>
          <w:szCs w:val="20"/>
          <w:lang w:val="en-GB"/>
        </w:rPr>
        <w:t>In addition to these three methods, data readily available from other sources (MAGRAMA, Spanish ministry of agriculture, food and the environment) were also entered.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20"/>
      </w:tblGrid>
      <w:tr w:rsidR="00C2470A" w:rsidRPr="00732120" w:rsidTr="00C5445E">
        <w:tc>
          <w:tcPr>
            <w:tcW w:w="8720" w:type="dxa"/>
          </w:tcPr>
          <w:p w:rsidR="00C2470A" w:rsidRDefault="00B93184" w:rsidP="00C2470A">
            <w:pPr>
              <w:jc w:val="center"/>
              <w:rPr>
                <w:rFonts w:ascii="Open Sans" w:hAnsi="Open Sans" w:cs="Open Sans"/>
                <w:noProof/>
                <w:sz w:val="20"/>
                <w:szCs w:val="20"/>
                <w:lang w:eastAsia="es-ES"/>
              </w:rPr>
            </w:pPr>
            <w:r w:rsidRPr="00DB7AD0">
              <w:rPr>
                <w:rFonts w:ascii="Open Sans" w:hAnsi="Open Sans" w:cs="Open Sans"/>
                <w:noProof/>
                <w:sz w:val="20"/>
                <w:szCs w:val="20"/>
                <w:lang w:eastAsia="es-ES"/>
              </w:rPr>
              <w:object w:dxaOrig="7057" w:dyaOrig="52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6.1pt;height:193.6pt" o:ole="">
                  <v:imagedata r:id="rId11" o:title=""/>
                </v:shape>
                <o:OLEObject Type="Embed" ProgID="PowerPoint.Show.12" ShapeID="_x0000_i1025" DrawAspect="Content" ObjectID="_1473230171" r:id="rId12"/>
              </w:object>
            </w:r>
          </w:p>
          <w:p w:rsidR="00B93184" w:rsidRDefault="00B93184" w:rsidP="00B93184">
            <w:pPr>
              <w:jc w:val="both"/>
              <w:rPr>
                <w:rFonts w:ascii="Open Sans" w:hAnsi="Open Sans" w:cs="Open Sans"/>
                <w:i/>
                <w:sz w:val="20"/>
                <w:szCs w:val="20"/>
                <w:lang w:val="en-GB" w:eastAsia="es-ES"/>
              </w:rPr>
            </w:pPr>
            <w:r w:rsidRPr="00B93184">
              <w:rPr>
                <w:rFonts w:ascii="Open Sans" w:hAnsi="Open Sans" w:cs="Open Sans"/>
                <w:i/>
                <w:sz w:val="20"/>
                <w:szCs w:val="20"/>
                <w:lang w:val="en-GB" w:eastAsia="es-ES"/>
              </w:rPr>
              <w:t>Figure 2.</w:t>
            </w:r>
            <w:r w:rsidRPr="00B93184">
              <w:rPr>
                <w:rFonts w:ascii="Open Sans" w:hAnsi="Open Sans" w:cs="Open Sans"/>
                <w:i/>
                <w:noProof/>
                <w:sz w:val="20"/>
                <w:szCs w:val="20"/>
                <w:lang w:val="en-GB" w:eastAsia="es-ES"/>
              </w:rPr>
              <w:t xml:space="preserve"> </w:t>
            </w:r>
            <w:r w:rsidRPr="00B93184">
              <w:rPr>
                <w:rFonts w:ascii="Open Sans" w:hAnsi="Open Sans" w:cs="Open Sans"/>
                <w:i/>
                <w:sz w:val="20"/>
                <w:szCs w:val="20"/>
                <w:lang w:val="en-GB" w:eastAsia="es-ES"/>
              </w:rPr>
              <w:t>Method for delimiting flood prone areas</w:t>
            </w:r>
          </w:p>
          <w:p w:rsidR="00732120" w:rsidRDefault="00732120" w:rsidP="00B93184">
            <w:pPr>
              <w:jc w:val="both"/>
              <w:rPr>
                <w:rFonts w:ascii="Open Sans" w:hAnsi="Open Sans" w:cs="Open Sans"/>
                <w:i/>
                <w:sz w:val="20"/>
                <w:szCs w:val="20"/>
                <w:lang w:val="en-GB" w:eastAsia="es-ES"/>
              </w:rPr>
            </w:pPr>
          </w:p>
          <w:p w:rsidR="00732120" w:rsidRDefault="00732120" w:rsidP="00B93184">
            <w:pPr>
              <w:jc w:val="both"/>
              <w:rPr>
                <w:rFonts w:ascii="Open Sans" w:hAnsi="Open Sans" w:cs="Open Sans"/>
                <w:i/>
                <w:sz w:val="20"/>
                <w:szCs w:val="20"/>
                <w:lang w:val="en-GB" w:eastAsia="es-ES"/>
              </w:rPr>
            </w:pPr>
          </w:p>
          <w:p w:rsidR="00C652BB" w:rsidRPr="00B93184" w:rsidRDefault="00C652BB" w:rsidP="00C652BB">
            <w:pPr>
              <w:tabs>
                <w:tab w:val="left" w:pos="5760"/>
              </w:tabs>
              <w:jc w:val="both"/>
              <w:rPr>
                <w:rFonts w:ascii="Open Sans" w:hAnsi="Open Sans" w:cs="Open Sans"/>
                <w:i/>
                <w:sz w:val="20"/>
                <w:szCs w:val="20"/>
                <w:lang w:val="en-GB"/>
              </w:rPr>
            </w:pPr>
            <w:r>
              <w:rPr>
                <w:rFonts w:ascii="Open Sans" w:hAnsi="Open Sans" w:cs="Open Sans"/>
                <w:i/>
                <w:sz w:val="20"/>
                <w:szCs w:val="20"/>
                <w:lang w:val="en-GB"/>
              </w:rPr>
              <w:tab/>
            </w:r>
          </w:p>
          <w:p w:rsidR="00C2470A" w:rsidRPr="00B93184" w:rsidRDefault="00B93184" w:rsidP="00B36D8B">
            <w:pPr>
              <w:jc w:val="both"/>
              <w:rPr>
                <w:rFonts w:ascii="Open Sans" w:hAnsi="Open Sans" w:cs="Open Sans"/>
                <w:noProof/>
                <w:sz w:val="20"/>
                <w:szCs w:val="20"/>
                <w:lang w:val="en-US" w:eastAsia="es-ES"/>
              </w:rPr>
            </w:pPr>
            <w:r w:rsidRPr="00DB7AD0">
              <w:rPr>
                <w:rFonts w:ascii="Open Sans" w:hAnsi="Open Sans" w:cs="Open Sans"/>
                <w:sz w:val="20"/>
                <w:szCs w:val="20"/>
                <w:lang w:val="en-GB"/>
              </w:rPr>
              <w:lastRenderedPageBreak/>
              <w:t>The hydrological-hydraulic method is diagrammed in Figure 3. Figure 4 shows two examples of how geomorphology can include and correct the information on flood prone areas where the algorithms used are unable to deliver a solution, while Figure 5 illustrates the method for studying past events.</w:t>
            </w:r>
          </w:p>
        </w:tc>
      </w:tr>
      <w:tr w:rsidR="00C2470A" w:rsidTr="00C5445E">
        <w:tc>
          <w:tcPr>
            <w:tcW w:w="8720" w:type="dxa"/>
          </w:tcPr>
          <w:p w:rsidR="00C2470A" w:rsidRPr="00B93184" w:rsidRDefault="00C2470A" w:rsidP="00B93184">
            <w:pPr>
              <w:jc w:val="both"/>
              <w:rPr>
                <w:rFonts w:ascii="Open Sans" w:hAnsi="Open Sans" w:cs="Open Sans"/>
                <w:sz w:val="20"/>
                <w:szCs w:val="20"/>
                <w:lang w:val="en-US"/>
              </w:rPr>
            </w:pPr>
          </w:p>
          <w:p w:rsidR="00C2470A" w:rsidRPr="00B93184" w:rsidRDefault="00B93184" w:rsidP="0018369F">
            <w:pPr>
              <w:jc w:val="both"/>
              <w:rPr>
                <w:rFonts w:ascii="Open Sans" w:hAnsi="Open Sans" w:cs="Open Sans"/>
                <w:sz w:val="20"/>
                <w:szCs w:val="20"/>
                <w:lang w:val="en-US"/>
              </w:rPr>
            </w:pPr>
            <w:r w:rsidRPr="00DB7AD0">
              <w:rPr>
                <w:rFonts w:ascii="Open Sans" w:hAnsi="Open Sans" w:cs="Open Sans"/>
                <w:noProof/>
                <w:sz w:val="20"/>
                <w:szCs w:val="20"/>
                <w:lang w:eastAsia="es-ES"/>
              </w:rPr>
              <w:drawing>
                <wp:inline distT="0" distB="0" distL="0" distR="0" wp14:anchorId="231C98DD" wp14:editId="1B210D6F">
                  <wp:extent cx="4903843" cy="2769079"/>
                  <wp:effectExtent l="0" t="0" r="0" b="0"/>
                  <wp:docPr id="1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919300" cy="2777807"/>
                          </a:xfrm>
                          <a:prstGeom prst="rect">
                            <a:avLst/>
                          </a:prstGeom>
                        </pic:spPr>
                      </pic:pic>
                    </a:graphicData>
                  </a:graphic>
                </wp:inline>
              </w:drawing>
            </w:r>
          </w:p>
          <w:p w:rsidR="00B60991" w:rsidRDefault="00B60991" w:rsidP="0018369F">
            <w:pPr>
              <w:jc w:val="both"/>
              <w:rPr>
                <w:rFonts w:ascii="Open Sans" w:hAnsi="Open Sans" w:cs="Open Sans"/>
                <w:i/>
                <w:sz w:val="20"/>
                <w:szCs w:val="20"/>
              </w:rPr>
            </w:pPr>
          </w:p>
          <w:p w:rsidR="00B60991" w:rsidRPr="00B93184" w:rsidRDefault="00B93184" w:rsidP="0018369F">
            <w:pPr>
              <w:jc w:val="both"/>
              <w:rPr>
                <w:rFonts w:ascii="Open Sans" w:hAnsi="Open Sans" w:cs="Open Sans"/>
                <w:i/>
                <w:sz w:val="20"/>
                <w:szCs w:val="20"/>
                <w:lang w:val="en-GB"/>
              </w:rPr>
            </w:pPr>
            <w:r w:rsidRPr="00B93184">
              <w:rPr>
                <w:rFonts w:ascii="Open Sans" w:hAnsi="Open Sans" w:cs="Open Sans"/>
                <w:i/>
                <w:sz w:val="20"/>
                <w:szCs w:val="20"/>
                <w:lang w:val="en-GB"/>
              </w:rPr>
              <w:t>Figure 3. Application of the hydrological-hydraulic method</w:t>
            </w:r>
          </w:p>
          <w:p w:rsidR="00B60991" w:rsidRDefault="00B60991" w:rsidP="0018369F">
            <w:pPr>
              <w:jc w:val="both"/>
              <w:rPr>
                <w:rFonts w:ascii="Open Sans" w:hAnsi="Open Sans" w:cs="Open Sans"/>
                <w:sz w:val="20"/>
                <w:szCs w:val="20"/>
              </w:rPr>
            </w:pPr>
            <w:r>
              <w:rPr>
                <w:rFonts w:ascii="Open Sans" w:hAnsi="Open Sans" w:cs="Open Sans"/>
                <w:noProof/>
                <w:sz w:val="20"/>
                <w:szCs w:val="20"/>
                <w:lang w:eastAsia="es-ES"/>
              </w:rPr>
              <w:drawing>
                <wp:inline distT="0" distB="0" distL="0" distR="0" wp14:anchorId="4D0D7A31" wp14:editId="19158298">
                  <wp:extent cx="5400040" cy="18415"/>
                  <wp:effectExtent l="0" t="0" r="0" b="635"/>
                  <wp:docPr id="1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parador.png"/>
                          <pic:cNvPicPr/>
                        </pic:nvPicPr>
                        <pic:blipFill>
                          <a:blip r:embed="rId9">
                            <a:extLst>
                              <a:ext uri="{28A0092B-C50C-407E-A947-70E740481C1C}">
                                <a14:useLocalDpi xmlns:a14="http://schemas.microsoft.com/office/drawing/2010/main" val="0"/>
                              </a:ext>
                            </a:extLst>
                          </a:blip>
                          <a:stretch>
                            <a:fillRect/>
                          </a:stretch>
                        </pic:blipFill>
                        <pic:spPr>
                          <a:xfrm>
                            <a:off x="0" y="0"/>
                            <a:ext cx="5400040" cy="18415"/>
                          </a:xfrm>
                          <a:prstGeom prst="rect">
                            <a:avLst/>
                          </a:prstGeom>
                        </pic:spPr>
                      </pic:pic>
                    </a:graphicData>
                  </a:graphic>
                </wp:inline>
              </w:drawing>
            </w:r>
          </w:p>
          <w:p w:rsidR="009E67F5" w:rsidRDefault="009E67F5" w:rsidP="0018369F">
            <w:pPr>
              <w:jc w:val="both"/>
              <w:rPr>
                <w:rFonts w:ascii="Open Sans" w:hAnsi="Open Sans" w:cs="Open Sans"/>
                <w:sz w:val="20"/>
                <w:szCs w:val="20"/>
              </w:rPr>
            </w:pPr>
          </w:p>
          <w:p w:rsidR="00104301" w:rsidRDefault="00104301" w:rsidP="0018369F">
            <w:pPr>
              <w:jc w:val="both"/>
              <w:rPr>
                <w:rFonts w:ascii="Open Sans" w:hAnsi="Open Sans" w:cs="Open Sans"/>
                <w:sz w:val="20"/>
                <w:szCs w:val="20"/>
              </w:rPr>
            </w:pPr>
            <w:r>
              <w:rPr>
                <w:rFonts w:ascii="Open Sans" w:hAnsi="Open Sans" w:cs="Open Sans"/>
                <w:noProof/>
                <w:sz w:val="20"/>
                <w:szCs w:val="20"/>
                <w:lang w:eastAsia="es-ES"/>
              </w:rPr>
              <w:drawing>
                <wp:inline distT="0" distB="0" distL="0" distR="0" wp14:anchorId="693FBE0F" wp14:editId="4D6B322B">
                  <wp:extent cx="5669585" cy="2343150"/>
                  <wp:effectExtent l="0" t="0" r="7620" b="0"/>
                  <wp:docPr id="1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a_4_GEOMEP.png"/>
                          <pic:cNvPicPr/>
                        </pic:nvPicPr>
                        <pic:blipFill>
                          <a:blip r:embed="rId14">
                            <a:extLst>
                              <a:ext uri="{28A0092B-C50C-407E-A947-70E740481C1C}">
                                <a14:useLocalDpi xmlns:a14="http://schemas.microsoft.com/office/drawing/2010/main" val="0"/>
                              </a:ext>
                            </a:extLst>
                          </a:blip>
                          <a:stretch>
                            <a:fillRect/>
                          </a:stretch>
                        </pic:blipFill>
                        <pic:spPr>
                          <a:xfrm>
                            <a:off x="0" y="0"/>
                            <a:ext cx="5682407" cy="2348449"/>
                          </a:xfrm>
                          <a:prstGeom prst="rect">
                            <a:avLst/>
                          </a:prstGeom>
                        </pic:spPr>
                      </pic:pic>
                    </a:graphicData>
                  </a:graphic>
                </wp:inline>
              </w:drawing>
            </w:r>
          </w:p>
          <w:p w:rsidR="00B60991" w:rsidRDefault="00B60991" w:rsidP="0018369F">
            <w:pPr>
              <w:jc w:val="both"/>
              <w:rPr>
                <w:rFonts w:ascii="Open Sans" w:hAnsi="Open Sans" w:cs="Open Sans"/>
                <w:i/>
                <w:sz w:val="20"/>
                <w:szCs w:val="20"/>
              </w:rPr>
            </w:pPr>
          </w:p>
          <w:p w:rsidR="00B60991" w:rsidRPr="00C652BB" w:rsidRDefault="00B60991" w:rsidP="0018369F">
            <w:pPr>
              <w:jc w:val="both"/>
              <w:rPr>
                <w:rFonts w:ascii="Open Sans" w:hAnsi="Open Sans" w:cs="Open Sans"/>
                <w:i/>
                <w:sz w:val="20"/>
                <w:szCs w:val="20"/>
                <w:lang w:val="en-US"/>
              </w:rPr>
            </w:pPr>
            <w:r w:rsidRPr="00C652BB">
              <w:rPr>
                <w:rFonts w:ascii="Open Sans" w:hAnsi="Open Sans" w:cs="Open Sans"/>
                <w:i/>
                <w:sz w:val="20"/>
                <w:szCs w:val="20"/>
                <w:lang w:val="en-US"/>
              </w:rPr>
              <w:t>Fig</w:t>
            </w:r>
            <w:r w:rsidR="00C652BB" w:rsidRPr="00C652BB">
              <w:rPr>
                <w:rFonts w:ascii="Open Sans" w:hAnsi="Open Sans" w:cs="Open Sans"/>
                <w:i/>
                <w:sz w:val="20"/>
                <w:szCs w:val="20"/>
                <w:lang w:val="en-US"/>
              </w:rPr>
              <w:t>ure</w:t>
            </w:r>
            <w:r w:rsidRPr="00C652BB">
              <w:rPr>
                <w:rFonts w:ascii="Open Sans" w:hAnsi="Open Sans" w:cs="Open Sans"/>
                <w:i/>
                <w:sz w:val="20"/>
                <w:szCs w:val="20"/>
                <w:lang w:val="en-US"/>
              </w:rPr>
              <w:t xml:space="preserve"> 4. </w:t>
            </w:r>
            <w:r w:rsidR="00C652BB" w:rsidRPr="00C652BB">
              <w:rPr>
                <w:rFonts w:ascii="Open Sans" w:hAnsi="Open Sans" w:cs="Open Sans"/>
                <w:i/>
                <w:color w:val="353535"/>
                <w:sz w:val="21"/>
                <w:szCs w:val="21"/>
                <w:lang w:val="en-US"/>
              </w:rPr>
              <w:t>Example of geomorphological plots supplementing and improving on hydraulic</w:t>
            </w:r>
          </w:p>
          <w:p w:rsidR="009E67F5" w:rsidRPr="00C652BB" w:rsidRDefault="009E67F5" w:rsidP="0018369F">
            <w:pPr>
              <w:jc w:val="both"/>
              <w:rPr>
                <w:rFonts w:ascii="Open Sans" w:hAnsi="Open Sans" w:cs="Open Sans"/>
                <w:i/>
                <w:sz w:val="20"/>
                <w:szCs w:val="20"/>
                <w:lang w:val="en-US"/>
              </w:rPr>
            </w:pPr>
          </w:p>
          <w:p w:rsidR="00B60991" w:rsidRPr="00B60991" w:rsidRDefault="00B60991" w:rsidP="0018369F">
            <w:pPr>
              <w:jc w:val="both"/>
              <w:rPr>
                <w:rFonts w:ascii="Open Sans" w:hAnsi="Open Sans" w:cs="Open Sans"/>
                <w:i/>
                <w:sz w:val="20"/>
                <w:szCs w:val="20"/>
              </w:rPr>
            </w:pPr>
            <w:r>
              <w:rPr>
                <w:rFonts w:ascii="Open Sans" w:hAnsi="Open Sans" w:cs="Open Sans"/>
                <w:noProof/>
                <w:sz w:val="20"/>
                <w:szCs w:val="20"/>
                <w:lang w:eastAsia="es-ES"/>
              </w:rPr>
              <w:drawing>
                <wp:inline distT="0" distB="0" distL="0" distR="0" wp14:anchorId="24708AF7" wp14:editId="0C8FFC6D">
                  <wp:extent cx="5400040" cy="18415"/>
                  <wp:effectExtent l="0" t="0" r="0" b="635"/>
                  <wp:docPr id="1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parador.png"/>
                          <pic:cNvPicPr/>
                        </pic:nvPicPr>
                        <pic:blipFill>
                          <a:blip r:embed="rId9">
                            <a:extLst>
                              <a:ext uri="{28A0092B-C50C-407E-A947-70E740481C1C}">
                                <a14:useLocalDpi xmlns:a14="http://schemas.microsoft.com/office/drawing/2010/main" val="0"/>
                              </a:ext>
                            </a:extLst>
                          </a:blip>
                          <a:stretch>
                            <a:fillRect/>
                          </a:stretch>
                        </pic:blipFill>
                        <pic:spPr>
                          <a:xfrm>
                            <a:off x="0" y="0"/>
                            <a:ext cx="5400040" cy="18415"/>
                          </a:xfrm>
                          <a:prstGeom prst="rect">
                            <a:avLst/>
                          </a:prstGeom>
                        </pic:spPr>
                      </pic:pic>
                    </a:graphicData>
                  </a:graphic>
                </wp:inline>
              </w:drawing>
            </w:r>
          </w:p>
          <w:p w:rsidR="00B60991" w:rsidRDefault="00B60991" w:rsidP="0018369F">
            <w:pPr>
              <w:jc w:val="both"/>
              <w:rPr>
                <w:rFonts w:ascii="Open Sans" w:hAnsi="Open Sans" w:cs="Open Sans"/>
                <w:sz w:val="20"/>
                <w:szCs w:val="20"/>
              </w:rPr>
            </w:pPr>
          </w:p>
          <w:p w:rsidR="00B60991" w:rsidRDefault="004F34E5" w:rsidP="0018369F">
            <w:pPr>
              <w:jc w:val="both"/>
              <w:rPr>
                <w:rFonts w:ascii="Open Sans" w:hAnsi="Open Sans" w:cs="Open Sans"/>
                <w:sz w:val="20"/>
                <w:szCs w:val="20"/>
              </w:rPr>
            </w:pPr>
            <w:r>
              <w:rPr>
                <w:noProof/>
                <w:lang w:eastAsia="es-ES"/>
              </w:rPr>
              <w:lastRenderedPageBreak/>
              <w:drawing>
                <wp:anchor distT="0" distB="0" distL="114300" distR="114300" simplePos="0" relativeHeight="251660288" behindDoc="0" locked="0" layoutInCell="1" allowOverlap="1">
                  <wp:simplePos x="0" y="0"/>
                  <wp:positionH relativeFrom="column">
                    <wp:posOffset>506730</wp:posOffset>
                  </wp:positionH>
                  <wp:positionV relativeFrom="paragraph">
                    <wp:posOffset>0</wp:posOffset>
                  </wp:positionV>
                  <wp:extent cx="4385310" cy="2058670"/>
                  <wp:effectExtent l="0" t="0" r="0" b="0"/>
                  <wp:wrapTopAndBottom/>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2.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85310" cy="2058670"/>
                          </a:xfrm>
                          <a:prstGeom prst="rect">
                            <a:avLst/>
                          </a:prstGeom>
                        </pic:spPr>
                      </pic:pic>
                    </a:graphicData>
                  </a:graphic>
                  <wp14:sizeRelH relativeFrom="page">
                    <wp14:pctWidth>0</wp14:pctWidth>
                  </wp14:sizeRelH>
                  <wp14:sizeRelV relativeFrom="page">
                    <wp14:pctHeight>0</wp14:pctHeight>
                  </wp14:sizeRelV>
                </wp:anchor>
              </w:drawing>
            </w:r>
          </w:p>
          <w:p w:rsidR="00C5445E" w:rsidRDefault="00C5445E" w:rsidP="0018369F">
            <w:pPr>
              <w:jc w:val="both"/>
              <w:rPr>
                <w:rFonts w:ascii="Open Sans" w:hAnsi="Open Sans" w:cs="Open Sans"/>
                <w:i/>
                <w:sz w:val="20"/>
                <w:szCs w:val="20"/>
              </w:rPr>
            </w:pPr>
          </w:p>
          <w:p w:rsidR="00C652BB" w:rsidRPr="00630BB1" w:rsidRDefault="00B93184" w:rsidP="00B93184">
            <w:pPr>
              <w:jc w:val="both"/>
              <w:rPr>
                <w:rFonts w:ascii="Open Sans" w:hAnsi="Open Sans" w:cs="Open Sans"/>
                <w:i/>
                <w:sz w:val="20"/>
                <w:szCs w:val="20"/>
                <w:lang w:val="en-GB"/>
              </w:rPr>
            </w:pPr>
            <w:r w:rsidRPr="00630BB1">
              <w:rPr>
                <w:rFonts w:ascii="Open Sans" w:hAnsi="Open Sans" w:cs="Open Sans"/>
                <w:i/>
                <w:sz w:val="20"/>
                <w:szCs w:val="20"/>
                <w:lang w:val="en-GB"/>
              </w:rPr>
              <w:t xml:space="preserve">Figure 5. </w:t>
            </w:r>
          </w:p>
          <w:p w:rsidR="00C652BB" w:rsidRDefault="00C652BB" w:rsidP="00B93184">
            <w:pPr>
              <w:jc w:val="both"/>
              <w:rPr>
                <w:rFonts w:ascii="Open Sans" w:hAnsi="Open Sans" w:cs="Open Sans"/>
                <w:sz w:val="20"/>
                <w:szCs w:val="20"/>
                <w:lang w:val="en-GB"/>
              </w:rPr>
            </w:pPr>
          </w:p>
          <w:p w:rsidR="00B93184" w:rsidRDefault="00B93184" w:rsidP="00B93184">
            <w:pPr>
              <w:jc w:val="both"/>
              <w:rPr>
                <w:rFonts w:ascii="Open Sans" w:hAnsi="Open Sans" w:cs="Open Sans"/>
                <w:sz w:val="20"/>
                <w:szCs w:val="20"/>
                <w:lang w:val="en-GB"/>
              </w:rPr>
            </w:pPr>
            <w:r w:rsidRPr="00DB7AD0">
              <w:rPr>
                <w:rFonts w:ascii="Open Sans" w:hAnsi="Open Sans" w:cs="Open Sans"/>
                <w:sz w:val="20"/>
                <w:szCs w:val="20"/>
                <w:lang w:val="en-GB"/>
              </w:rPr>
              <w:t>Historic process, begun by geo-coding events with different degrees of uncertainty, and studying inter-event relationships with cluster and distance analysis methods</w:t>
            </w:r>
          </w:p>
          <w:p w:rsidR="00C652BB" w:rsidRPr="00DB7AD0" w:rsidRDefault="00C652BB" w:rsidP="00B93184">
            <w:pPr>
              <w:jc w:val="both"/>
              <w:rPr>
                <w:rFonts w:ascii="Open Sans" w:hAnsi="Open Sans" w:cs="Open Sans"/>
                <w:sz w:val="20"/>
                <w:szCs w:val="20"/>
                <w:lang w:val="en-GB"/>
              </w:rPr>
            </w:pPr>
          </w:p>
          <w:p w:rsidR="00B93184" w:rsidRPr="00DB7AD0" w:rsidRDefault="00B93184" w:rsidP="00B93184">
            <w:pPr>
              <w:jc w:val="both"/>
              <w:rPr>
                <w:rFonts w:ascii="Open Sans" w:hAnsi="Open Sans" w:cs="Open Sans"/>
                <w:sz w:val="20"/>
                <w:szCs w:val="20"/>
                <w:lang w:val="en-GB"/>
              </w:rPr>
            </w:pPr>
            <w:r w:rsidRPr="00DB7AD0">
              <w:rPr>
                <w:rFonts w:ascii="Open Sans" w:hAnsi="Open Sans" w:cs="Open Sans"/>
                <w:sz w:val="20"/>
                <w:szCs w:val="20"/>
                <w:lang w:val="en-GB"/>
              </w:rPr>
              <w:t xml:space="preserve">The seismicity study comprised a regional analysis of the </w:t>
            </w:r>
            <w:proofErr w:type="spellStart"/>
            <w:r w:rsidRPr="00DB7AD0">
              <w:rPr>
                <w:rFonts w:ascii="Open Sans" w:hAnsi="Open Sans" w:cs="Open Sans"/>
                <w:sz w:val="20"/>
                <w:szCs w:val="20"/>
                <w:lang w:val="en-GB"/>
              </w:rPr>
              <w:t>seismogenic</w:t>
            </w:r>
            <w:proofErr w:type="spellEnd"/>
            <w:r w:rsidRPr="00DB7AD0">
              <w:rPr>
                <w:rFonts w:ascii="Open Sans" w:hAnsi="Open Sans" w:cs="Open Sans"/>
                <w:sz w:val="20"/>
                <w:szCs w:val="20"/>
                <w:lang w:val="en-GB"/>
              </w:rPr>
              <w:t xml:space="preserve"> areas and their seismic potential, followed by application of a model for calculating attenuation with distance, which yielded the distribution of the seismic acceleration that would be reached with the likelihood established. This distance analysis was supplemented with a model for taking other attenuation characteristics into consideration, such as site conditions, soil type and hypsometric gradient values as a measure of land relief.</w:t>
            </w:r>
          </w:p>
          <w:p w:rsidR="00B60991" w:rsidRPr="00B93184" w:rsidRDefault="00B60991" w:rsidP="0018369F">
            <w:pPr>
              <w:jc w:val="both"/>
              <w:rPr>
                <w:rFonts w:ascii="Open Sans" w:hAnsi="Open Sans" w:cs="Open Sans"/>
                <w:sz w:val="20"/>
                <w:szCs w:val="20"/>
                <w:lang w:val="en-GB"/>
              </w:rPr>
            </w:pPr>
          </w:p>
          <w:p w:rsidR="00B60991" w:rsidRDefault="00D62AA3" w:rsidP="0018369F">
            <w:pPr>
              <w:jc w:val="both"/>
              <w:rPr>
                <w:rFonts w:ascii="Open Sans" w:hAnsi="Open Sans" w:cs="Open Sans"/>
                <w:sz w:val="20"/>
                <w:szCs w:val="20"/>
              </w:rPr>
            </w:pPr>
            <w:r w:rsidRPr="00DB7AD0">
              <w:rPr>
                <w:rFonts w:ascii="Open Sans" w:hAnsi="Open Sans" w:cs="Open Sans"/>
                <w:noProof/>
                <w:sz w:val="20"/>
                <w:szCs w:val="20"/>
                <w:lang w:eastAsia="es-ES"/>
              </w:rPr>
              <w:drawing>
                <wp:inline distT="0" distB="0" distL="0" distR="0" wp14:anchorId="45B67D40" wp14:editId="04EFE2EF">
                  <wp:extent cx="5400040" cy="3121660"/>
                  <wp:effectExtent l="0" t="0" r="0" b="2540"/>
                  <wp:docPr id="2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3.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400040" cy="3121660"/>
                          </a:xfrm>
                          <a:prstGeom prst="rect">
                            <a:avLst/>
                          </a:prstGeom>
                        </pic:spPr>
                      </pic:pic>
                    </a:graphicData>
                  </a:graphic>
                </wp:inline>
              </w:drawing>
            </w:r>
          </w:p>
          <w:p w:rsidR="00D62AA3" w:rsidRPr="00D62AA3" w:rsidRDefault="00D62AA3" w:rsidP="00D62AA3">
            <w:pPr>
              <w:jc w:val="both"/>
              <w:rPr>
                <w:rFonts w:ascii="Open Sans" w:hAnsi="Open Sans" w:cs="Open Sans"/>
                <w:i/>
                <w:sz w:val="20"/>
                <w:szCs w:val="20"/>
                <w:lang w:val="en-GB"/>
              </w:rPr>
            </w:pPr>
            <w:r w:rsidRPr="00D62AA3">
              <w:rPr>
                <w:rFonts w:ascii="Open Sans" w:hAnsi="Open Sans" w:cs="Open Sans"/>
                <w:i/>
                <w:sz w:val="20"/>
                <w:szCs w:val="20"/>
                <w:lang w:val="en-GB"/>
              </w:rPr>
              <w:t>Figure 6. Methodological approach to studying peak ground acceleration</w:t>
            </w:r>
          </w:p>
          <w:p w:rsidR="00630BB1" w:rsidRDefault="00630BB1" w:rsidP="0018369F">
            <w:pPr>
              <w:jc w:val="both"/>
              <w:rPr>
                <w:rFonts w:ascii="Open Sans" w:hAnsi="Open Sans" w:cs="Open Sans"/>
                <w:i/>
                <w:sz w:val="20"/>
                <w:szCs w:val="20"/>
                <w:lang w:val="en-GB"/>
              </w:rPr>
            </w:pPr>
          </w:p>
          <w:p w:rsidR="00732120" w:rsidRPr="00D62AA3" w:rsidRDefault="00732120" w:rsidP="0018369F">
            <w:pPr>
              <w:jc w:val="both"/>
              <w:rPr>
                <w:rFonts w:ascii="Open Sans" w:hAnsi="Open Sans" w:cs="Open Sans"/>
                <w:i/>
                <w:sz w:val="20"/>
                <w:szCs w:val="20"/>
                <w:lang w:val="en-GB"/>
              </w:rPr>
            </w:pPr>
          </w:p>
          <w:p w:rsidR="00B60991" w:rsidRDefault="00B60991" w:rsidP="0018369F">
            <w:pPr>
              <w:jc w:val="both"/>
              <w:rPr>
                <w:rFonts w:ascii="Open Sans" w:hAnsi="Open Sans" w:cs="Open Sans"/>
                <w:sz w:val="20"/>
                <w:szCs w:val="20"/>
              </w:rPr>
            </w:pPr>
            <w:r>
              <w:rPr>
                <w:rFonts w:ascii="Open Sans" w:hAnsi="Open Sans" w:cs="Open Sans"/>
                <w:noProof/>
                <w:sz w:val="20"/>
                <w:szCs w:val="20"/>
                <w:lang w:eastAsia="es-ES"/>
              </w:rPr>
              <w:drawing>
                <wp:inline distT="0" distB="0" distL="0" distR="0" wp14:anchorId="2C0BD39D" wp14:editId="5CC1FBBC">
                  <wp:extent cx="5400040" cy="18415"/>
                  <wp:effectExtent l="0" t="0" r="0" b="635"/>
                  <wp:docPr id="2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parador.png"/>
                          <pic:cNvPicPr/>
                        </pic:nvPicPr>
                        <pic:blipFill>
                          <a:blip r:embed="rId9">
                            <a:extLst>
                              <a:ext uri="{28A0092B-C50C-407E-A947-70E740481C1C}">
                                <a14:useLocalDpi xmlns:a14="http://schemas.microsoft.com/office/drawing/2010/main" val="0"/>
                              </a:ext>
                            </a:extLst>
                          </a:blip>
                          <a:stretch>
                            <a:fillRect/>
                          </a:stretch>
                        </pic:blipFill>
                        <pic:spPr>
                          <a:xfrm>
                            <a:off x="0" y="0"/>
                            <a:ext cx="5400040" cy="18415"/>
                          </a:xfrm>
                          <a:prstGeom prst="rect">
                            <a:avLst/>
                          </a:prstGeom>
                        </pic:spPr>
                      </pic:pic>
                    </a:graphicData>
                  </a:graphic>
                </wp:inline>
              </w:drawing>
            </w:r>
          </w:p>
          <w:p w:rsidR="00732120" w:rsidRDefault="00732120" w:rsidP="0018369F">
            <w:pPr>
              <w:jc w:val="both"/>
              <w:rPr>
                <w:rFonts w:ascii="Open Sans" w:hAnsi="Open Sans" w:cs="Open Sans"/>
                <w:sz w:val="20"/>
                <w:szCs w:val="20"/>
              </w:rPr>
            </w:pPr>
          </w:p>
          <w:p w:rsidR="00732120" w:rsidRDefault="00732120" w:rsidP="0018369F">
            <w:pPr>
              <w:jc w:val="both"/>
              <w:rPr>
                <w:rFonts w:ascii="Open Sans" w:hAnsi="Open Sans" w:cs="Open Sans"/>
                <w:sz w:val="20"/>
                <w:szCs w:val="20"/>
              </w:rPr>
            </w:pPr>
          </w:p>
          <w:p w:rsidR="00D62AA3" w:rsidRPr="00DB7AD0" w:rsidRDefault="00D62AA3" w:rsidP="00D62AA3">
            <w:pPr>
              <w:jc w:val="both"/>
              <w:rPr>
                <w:rFonts w:ascii="Open Sans" w:hAnsi="Open Sans" w:cs="Open Sans"/>
                <w:sz w:val="20"/>
                <w:szCs w:val="20"/>
              </w:rPr>
            </w:pPr>
            <w:r w:rsidRPr="00DB7AD0">
              <w:rPr>
                <w:rFonts w:ascii="Open Sans" w:hAnsi="Open Sans" w:cs="Open Sans"/>
                <w:sz w:val="20"/>
                <w:szCs w:val="20"/>
                <w:lang w:val="en-GB"/>
              </w:rPr>
              <w:lastRenderedPageBreak/>
              <w:t>The IGME’s VOLCANTEN project database was used for the volcanism study, which consisted of a probabilistic assessment of effusion vents. Randomly triggered lava flow scenarios were modelled with event simulation software. The methodology is depicted in Figure 7.</w:t>
            </w:r>
          </w:p>
          <w:p w:rsidR="00B60991" w:rsidRDefault="00B60991" w:rsidP="0018369F">
            <w:pPr>
              <w:jc w:val="both"/>
              <w:rPr>
                <w:rFonts w:ascii="Open Sans" w:hAnsi="Open Sans" w:cs="Open Sans"/>
                <w:sz w:val="20"/>
                <w:szCs w:val="20"/>
              </w:rPr>
            </w:pPr>
          </w:p>
          <w:p w:rsidR="00B60991" w:rsidRDefault="00D62AA3" w:rsidP="0018369F">
            <w:pPr>
              <w:jc w:val="both"/>
              <w:rPr>
                <w:rFonts w:ascii="Open Sans" w:hAnsi="Open Sans" w:cs="Open Sans"/>
                <w:sz w:val="20"/>
                <w:szCs w:val="20"/>
              </w:rPr>
            </w:pPr>
            <w:r w:rsidRPr="00DB7AD0">
              <w:rPr>
                <w:rFonts w:ascii="Open Sans" w:hAnsi="Open Sans" w:cs="Open Sans"/>
                <w:noProof/>
                <w:sz w:val="20"/>
                <w:szCs w:val="20"/>
                <w:lang w:eastAsia="es-ES"/>
              </w:rPr>
              <w:drawing>
                <wp:inline distT="0" distB="0" distL="0" distR="0" wp14:anchorId="722BF1D0" wp14:editId="1AE8B971">
                  <wp:extent cx="5400040" cy="3278505"/>
                  <wp:effectExtent l="0" t="0" r="0" b="0"/>
                  <wp:docPr id="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4.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400040" cy="3278505"/>
                          </a:xfrm>
                          <a:prstGeom prst="rect">
                            <a:avLst/>
                          </a:prstGeom>
                        </pic:spPr>
                      </pic:pic>
                    </a:graphicData>
                  </a:graphic>
                </wp:inline>
              </w:drawing>
            </w:r>
          </w:p>
          <w:p w:rsidR="00C5445E" w:rsidRDefault="00C5445E" w:rsidP="0018369F">
            <w:pPr>
              <w:jc w:val="both"/>
              <w:rPr>
                <w:rFonts w:ascii="Open Sans" w:hAnsi="Open Sans" w:cs="Open Sans"/>
                <w:i/>
                <w:sz w:val="20"/>
                <w:szCs w:val="20"/>
              </w:rPr>
            </w:pPr>
          </w:p>
          <w:p w:rsidR="00D62AA3" w:rsidRPr="00D62AA3" w:rsidRDefault="00D62AA3" w:rsidP="00D62AA3">
            <w:pPr>
              <w:jc w:val="both"/>
              <w:rPr>
                <w:rFonts w:ascii="Open Sans" w:hAnsi="Open Sans" w:cs="Open Sans"/>
                <w:i/>
                <w:sz w:val="20"/>
                <w:szCs w:val="20"/>
                <w:lang w:val="en-GB"/>
              </w:rPr>
            </w:pPr>
            <w:r w:rsidRPr="00D62AA3">
              <w:rPr>
                <w:rFonts w:ascii="Open Sans" w:hAnsi="Open Sans" w:cs="Open Sans"/>
                <w:i/>
                <w:sz w:val="20"/>
                <w:szCs w:val="20"/>
                <w:lang w:val="en-GB"/>
              </w:rPr>
              <w:t>Figure 7. Method for determining lava flow scenarios</w:t>
            </w:r>
          </w:p>
          <w:p w:rsidR="00B60991" w:rsidRPr="00D62AA3" w:rsidRDefault="00B60991" w:rsidP="0018369F">
            <w:pPr>
              <w:jc w:val="both"/>
              <w:rPr>
                <w:rFonts w:ascii="Open Sans" w:hAnsi="Open Sans" w:cs="Open Sans"/>
                <w:sz w:val="20"/>
                <w:szCs w:val="20"/>
                <w:lang w:val="en-GB"/>
              </w:rPr>
            </w:pPr>
          </w:p>
          <w:p w:rsidR="00C2470A" w:rsidRPr="00C2470A" w:rsidRDefault="00B60991" w:rsidP="00B36D8B">
            <w:pPr>
              <w:jc w:val="both"/>
              <w:rPr>
                <w:rFonts w:ascii="Open Sans" w:hAnsi="Open Sans" w:cs="Open Sans"/>
                <w:sz w:val="20"/>
                <w:szCs w:val="20"/>
              </w:rPr>
            </w:pPr>
            <w:r>
              <w:rPr>
                <w:rFonts w:ascii="Open Sans" w:hAnsi="Open Sans" w:cs="Open Sans"/>
                <w:noProof/>
                <w:sz w:val="20"/>
                <w:szCs w:val="20"/>
                <w:lang w:eastAsia="es-ES"/>
              </w:rPr>
              <w:drawing>
                <wp:inline distT="0" distB="0" distL="0" distR="0" wp14:anchorId="2373A221" wp14:editId="261F92CC">
                  <wp:extent cx="5400040" cy="18415"/>
                  <wp:effectExtent l="0" t="0" r="0" b="635"/>
                  <wp:docPr id="2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parador.png"/>
                          <pic:cNvPicPr/>
                        </pic:nvPicPr>
                        <pic:blipFill>
                          <a:blip r:embed="rId9">
                            <a:extLst>
                              <a:ext uri="{28A0092B-C50C-407E-A947-70E740481C1C}">
                                <a14:useLocalDpi xmlns:a14="http://schemas.microsoft.com/office/drawing/2010/main" val="0"/>
                              </a:ext>
                            </a:extLst>
                          </a:blip>
                          <a:stretch>
                            <a:fillRect/>
                          </a:stretch>
                        </pic:blipFill>
                        <pic:spPr>
                          <a:xfrm>
                            <a:off x="0" y="0"/>
                            <a:ext cx="5400040" cy="18415"/>
                          </a:xfrm>
                          <a:prstGeom prst="rect">
                            <a:avLst/>
                          </a:prstGeom>
                        </pic:spPr>
                      </pic:pic>
                    </a:graphicData>
                  </a:graphic>
                </wp:inline>
              </w:drawing>
            </w:r>
          </w:p>
        </w:tc>
      </w:tr>
    </w:tbl>
    <w:p w:rsidR="00C5445E" w:rsidRPr="00732120" w:rsidRDefault="00592246" w:rsidP="00732120">
      <w:pPr>
        <w:pStyle w:val="ListParagraph"/>
        <w:numPr>
          <w:ilvl w:val="0"/>
          <w:numId w:val="11"/>
        </w:numPr>
        <w:ind w:left="284" w:hanging="284"/>
        <w:rPr>
          <w:rFonts w:ascii="Open Sans" w:hAnsi="Open Sans" w:cs="Open Sans"/>
          <w:color w:val="A70B2C"/>
          <w:sz w:val="28"/>
          <w:szCs w:val="28"/>
          <w:lang w:val="en-US"/>
        </w:rPr>
      </w:pPr>
      <w:r w:rsidRPr="00732120">
        <w:rPr>
          <w:rFonts w:ascii="Open Sans" w:hAnsi="Open Sans" w:cs="Open Sans"/>
          <w:color w:val="A70B2C"/>
          <w:sz w:val="28"/>
          <w:szCs w:val="28"/>
          <w:lang w:val="en-US"/>
        </w:rPr>
        <w:lastRenderedPageBreak/>
        <w:t>Exposure</w:t>
      </w:r>
    </w:p>
    <w:p w:rsidR="00592246" w:rsidRDefault="00592246" w:rsidP="00592246">
      <w:pPr>
        <w:jc w:val="both"/>
        <w:rPr>
          <w:rFonts w:ascii="Open Sans" w:hAnsi="Open Sans" w:cs="Open Sans"/>
          <w:sz w:val="20"/>
          <w:szCs w:val="20"/>
          <w:lang w:val="en-GB"/>
        </w:rPr>
      </w:pPr>
      <w:r w:rsidRPr="00DB7AD0">
        <w:rPr>
          <w:rFonts w:ascii="Open Sans" w:hAnsi="Open Sans" w:cs="Open Sans"/>
          <w:sz w:val="20"/>
          <w:szCs w:val="20"/>
          <w:lang w:val="en-GB"/>
        </w:rPr>
        <w:t>Cadastre databases were used to study exposure. These databases include real estate appraisals divided into land value and building value. For flooding, seismicity and volcanism, the assumed insurable value was the value of the buildings (using a conversion factor to find the reconstruction value in the event of seismicity and flooding), plus a percentage to cover the value of the contents. While only the value of buildings was appraised for the seismic analysis, although including all the buildings on the archipelago (disregarding content losses), in the volcanism study both buildings and content located in the path of the lava flow were appraised for each scenario. In flooding, total exposure included the value of the movables in the ground and below grade storeys in buildings in the flooded area, and the buildings themselves only where a certain flood crest threshold was crossed (Table 1).</w:t>
      </w:r>
    </w:p>
    <w:p w:rsidR="00630BB1" w:rsidRDefault="00630BB1" w:rsidP="00592246">
      <w:pPr>
        <w:jc w:val="both"/>
        <w:rPr>
          <w:rFonts w:ascii="Open Sans" w:hAnsi="Open Sans" w:cs="Open Sans"/>
          <w:sz w:val="20"/>
          <w:szCs w:val="20"/>
          <w:lang w:val="en-GB"/>
        </w:rPr>
      </w:pPr>
    </w:p>
    <w:p w:rsidR="00732120" w:rsidRDefault="00732120" w:rsidP="00592246">
      <w:pPr>
        <w:jc w:val="both"/>
        <w:rPr>
          <w:rFonts w:ascii="Open Sans" w:hAnsi="Open Sans" w:cs="Open Sans"/>
          <w:sz w:val="20"/>
          <w:szCs w:val="20"/>
          <w:lang w:val="en-GB"/>
        </w:rPr>
      </w:pPr>
    </w:p>
    <w:p w:rsidR="00732120" w:rsidRDefault="00732120" w:rsidP="00592246">
      <w:pPr>
        <w:jc w:val="both"/>
        <w:rPr>
          <w:rFonts w:ascii="Open Sans" w:hAnsi="Open Sans" w:cs="Open Sans"/>
          <w:sz w:val="20"/>
          <w:szCs w:val="20"/>
          <w:lang w:val="en-GB"/>
        </w:rPr>
      </w:pPr>
    </w:p>
    <w:p w:rsidR="00732120" w:rsidRDefault="00732120" w:rsidP="00592246">
      <w:pPr>
        <w:jc w:val="both"/>
        <w:rPr>
          <w:rFonts w:ascii="Open Sans" w:hAnsi="Open Sans" w:cs="Open Sans"/>
          <w:sz w:val="20"/>
          <w:szCs w:val="20"/>
          <w:lang w:val="en-GB"/>
        </w:rPr>
      </w:pPr>
    </w:p>
    <w:p w:rsidR="00592246" w:rsidRPr="00592246" w:rsidRDefault="00592246" w:rsidP="00592246">
      <w:pPr>
        <w:jc w:val="both"/>
        <w:rPr>
          <w:rFonts w:ascii="Open Sans" w:hAnsi="Open Sans" w:cs="Open Sans"/>
          <w:i/>
          <w:sz w:val="20"/>
          <w:szCs w:val="20"/>
          <w:lang w:val="en-GB"/>
        </w:rPr>
      </w:pPr>
      <w:proofErr w:type="gramStart"/>
      <w:r w:rsidRPr="00592246">
        <w:rPr>
          <w:rFonts w:ascii="Open Sans" w:hAnsi="Open Sans" w:cs="Open Sans"/>
          <w:i/>
          <w:sz w:val="20"/>
          <w:szCs w:val="20"/>
          <w:lang w:val="en-GB"/>
        </w:rPr>
        <w:lastRenderedPageBreak/>
        <w:t>Table 1.</w:t>
      </w:r>
      <w:proofErr w:type="gramEnd"/>
      <w:r w:rsidRPr="00592246">
        <w:rPr>
          <w:rFonts w:ascii="Open Sans" w:hAnsi="Open Sans" w:cs="Open Sans"/>
          <w:i/>
          <w:sz w:val="20"/>
          <w:szCs w:val="20"/>
          <w:lang w:val="en-GB"/>
        </w:rPr>
        <w:t xml:space="preserve"> Exposed elements included in the study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3"/>
        <w:gridCol w:w="3260"/>
        <w:gridCol w:w="3291"/>
      </w:tblGrid>
      <w:tr w:rsidR="000B2EE5" w:rsidRPr="000B2EE5" w:rsidTr="00E564F2">
        <w:tc>
          <w:tcPr>
            <w:tcW w:w="2093" w:type="dxa"/>
            <w:vMerge w:val="restart"/>
            <w:vAlign w:val="center"/>
          </w:tcPr>
          <w:p w:rsidR="00916D80" w:rsidRPr="00C5445E" w:rsidRDefault="00592246" w:rsidP="00916D80">
            <w:pPr>
              <w:rPr>
                <w:rFonts w:ascii="Open Sans" w:hAnsi="Open Sans" w:cs="Open Sans"/>
                <w:b/>
                <w:sz w:val="20"/>
                <w:szCs w:val="20"/>
              </w:rPr>
            </w:pPr>
            <w:r w:rsidRPr="00DB7AD0">
              <w:rPr>
                <w:rFonts w:ascii="Open Sans" w:hAnsi="Open Sans" w:cs="Open Sans"/>
                <w:b/>
                <w:sz w:val="20"/>
                <w:szCs w:val="20"/>
                <w:lang w:val="en-GB"/>
              </w:rPr>
              <w:t>Case study</w:t>
            </w:r>
          </w:p>
        </w:tc>
        <w:tc>
          <w:tcPr>
            <w:tcW w:w="6551" w:type="dxa"/>
            <w:gridSpan w:val="2"/>
            <w:shd w:val="clear" w:color="auto" w:fill="A70B2C"/>
          </w:tcPr>
          <w:p w:rsidR="00916D80" w:rsidRPr="000B2EE5" w:rsidRDefault="00916D80" w:rsidP="00916D80">
            <w:pPr>
              <w:spacing w:line="240" w:lineRule="exact"/>
              <w:jc w:val="center"/>
              <w:rPr>
                <w:rFonts w:ascii="Open Sans" w:hAnsi="Open Sans" w:cs="Open Sans"/>
                <w:b/>
                <w:color w:val="FFFFFF" w:themeColor="background1"/>
                <w:sz w:val="20"/>
                <w:szCs w:val="20"/>
              </w:rPr>
            </w:pPr>
            <w:r w:rsidRPr="000B2EE5">
              <w:rPr>
                <w:rFonts w:ascii="Open Sans" w:hAnsi="Open Sans" w:cs="Open Sans"/>
                <w:b/>
                <w:color w:val="FFFFFF" w:themeColor="background1"/>
                <w:sz w:val="20"/>
                <w:szCs w:val="20"/>
              </w:rPr>
              <w:br/>
            </w:r>
            <w:r w:rsidR="00592246" w:rsidRPr="00592246">
              <w:rPr>
                <w:rFonts w:ascii="Open Sans" w:hAnsi="Open Sans" w:cs="Open Sans"/>
                <w:b/>
                <w:color w:val="FFFFFF" w:themeColor="background1"/>
                <w:sz w:val="20"/>
                <w:szCs w:val="20"/>
                <w:lang w:val="en-GB"/>
              </w:rPr>
              <w:t>Exposure</w:t>
            </w:r>
            <w:r w:rsidRPr="000B2EE5">
              <w:rPr>
                <w:rFonts w:ascii="Open Sans" w:hAnsi="Open Sans" w:cs="Open Sans"/>
                <w:b/>
                <w:color w:val="FFFFFF" w:themeColor="background1"/>
                <w:sz w:val="20"/>
                <w:szCs w:val="20"/>
              </w:rPr>
              <w:br/>
            </w:r>
          </w:p>
        </w:tc>
      </w:tr>
      <w:tr w:rsidR="00C5445E" w:rsidTr="00E564F2">
        <w:tc>
          <w:tcPr>
            <w:tcW w:w="2093" w:type="dxa"/>
            <w:vMerge/>
            <w:tcBorders>
              <w:right w:val="single" w:sz="4" w:space="0" w:color="BFBFBF" w:themeColor="background1" w:themeShade="BF"/>
            </w:tcBorders>
          </w:tcPr>
          <w:p w:rsidR="00C5445E" w:rsidRDefault="00C5445E" w:rsidP="00C5445E">
            <w:pPr>
              <w:rPr>
                <w:rFonts w:ascii="Open Sans" w:hAnsi="Open Sans" w:cs="Open Sans"/>
                <w:sz w:val="20"/>
                <w:szCs w:val="20"/>
              </w:rPr>
            </w:pPr>
          </w:p>
        </w:tc>
        <w:tc>
          <w:tcPr>
            <w:tcW w:w="3260" w:type="dxa"/>
            <w:tcBorders>
              <w:left w:val="single" w:sz="4" w:space="0" w:color="BFBFBF" w:themeColor="background1" w:themeShade="BF"/>
              <w:right w:val="single" w:sz="4" w:space="0" w:color="BFBFBF" w:themeColor="background1" w:themeShade="BF"/>
            </w:tcBorders>
          </w:tcPr>
          <w:p w:rsidR="00C5445E" w:rsidRPr="00592246" w:rsidRDefault="00916D80" w:rsidP="006A5CCB">
            <w:pPr>
              <w:rPr>
                <w:rFonts w:ascii="Open Sans" w:hAnsi="Open Sans" w:cs="Open Sans"/>
                <w:b/>
                <w:sz w:val="20"/>
                <w:szCs w:val="20"/>
              </w:rPr>
            </w:pPr>
            <w:r>
              <w:rPr>
                <w:rFonts w:ascii="Open Sans" w:hAnsi="Open Sans" w:cs="Open Sans"/>
                <w:b/>
                <w:sz w:val="20"/>
                <w:szCs w:val="20"/>
              </w:rPr>
              <w:br/>
            </w:r>
            <w:r w:rsidR="00592246" w:rsidRPr="00592246">
              <w:rPr>
                <w:rFonts w:ascii="Open Sans" w:hAnsi="Open Sans" w:cs="Open Sans"/>
                <w:b/>
                <w:sz w:val="20"/>
                <w:szCs w:val="20"/>
                <w:lang w:val="en-GB"/>
              </w:rPr>
              <w:t>Buildings</w:t>
            </w:r>
            <w:r w:rsidRPr="00592246">
              <w:rPr>
                <w:rFonts w:ascii="Open Sans" w:hAnsi="Open Sans" w:cs="Open Sans"/>
                <w:b/>
                <w:sz w:val="20"/>
                <w:szCs w:val="20"/>
              </w:rPr>
              <w:br/>
            </w:r>
          </w:p>
        </w:tc>
        <w:tc>
          <w:tcPr>
            <w:tcW w:w="3291" w:type="dxa"/>
            <w:tcBorders>
              <w:left w:val="single" w:sz="4" w:space="0" w:color="BFBFBF" w:themeColor="background1" w:themeShade="BF"/>
            </w:tcBorders>
          </w:tcPr>
          <w:p w:rsidR="00C5445E" w:rsidRPr="00592246" w:rsidRDefault="00916D80" w:rsidP="006A5CCB">
            <w:pPr>
              <w:rPr>
                <w:rFonts w:ascii="Open Sans" w:hAnsi="Open Sans" w:cs="Open Sans"/>
                <w:b/>
                <w:sz w:val="20"/>
                <w:szCs w:val="20"/>
              </w:rPr>
            </w:pPr>
            <w:r>
              <w:rPr>
                <w:rFonts w:ascii="Open Sans" w:hAnsi="Open Sans" w:cs="Open Sans"/>
                <w:b/>
                <w:sz w:val="20"/>
                <w:szCs w:val="20"/>
              </w:rPr>
              <w:br/>
            </w:r>
            <w:r w:rsidR="00592246" w:rsidRPr="00592246">
              <w:rPr>
                <w:rFonts w:ascii="Open Sans" w:hAnsi="Open Sans" w:cs="Open Sans"/>
                <w:b/>
                <w:sz w:val="20"/>
                <w:szCs w:val="20"/>
                <w:lang w:val="en-GB"/>
              </w:rPr>
              <w:t>Contents (movables)</w:t>
            </w:r>
          </w:p>
        </w:tc>
      </w:tr>
      <w:tr w:rsidR="00592246" w:rsidRPr="00732120" w:rsidTr="004E050E">
        <w:tc>
          <w:tcPr>
            <w:tcW w:w="2093" w:type="dxa"/>
            <w:tcBorders>
              <w:right w:val="single" w:sz="4" w:space="0" w:color="BFBFBF" w:themeColor="background1" w:themeShade="BF"/>
            </w:tcBorders>
            <w:shd w:val="clear" w:color="auto" w:fill="F2F2F2" w:themeFill="background1" w:themeFillShade="F2"/>
          </w:tcPr>
          <w:p w:rsidR="00592246" w:rsidRPr="00DB7AD0" w:rsidRDefault="00592246" w:rsidP="004E050E">
            <w:pPr>
              <w:jc w:val="both"/>
              <w:rPr>
                <w:rFonts w:ascii="Open Sans" w:hAnsi="Open Sans" w:cs="Open Sans"/>
                <w:sz w:val="20"/>
                <w:szCs w:val="20"/>
              </w:rPr>
            </w:pPr>
            <w:r w:rsidRPr="00DB7AD0">
              <w:rPr>
                <w:rFonts w:ascii="Open Sans" w:hAnsi="Open Sans" w:cs="Open Sans"/>
                <w:sz w:val="20"/>
                <w:szCs w:val="20"/>
                <w:lang w:val="en-GB"/>
              </w:rPr>
              <w:t>Flooding</w:t>
            </w:r>
          </w:p>
        </w:tc>
        <w:tc>
          <w:tcPr>
            <w:tcW w:w="3260" w:type="dxa"/>
            <w:tcBorders>
              <w:left w:val="single" w:sz="4" w:space="0" w:color="BFBFBF" w:themeColor="background1" w:themeShade="BF"/>
              <w:right w:val="single" w:sz="4" w:space="0" w:color="BFBFBF" w:themeColor="background1" w:themeShade="BF"/>
            </w:tcBorders>
            <w:shd w:val="clear" w:color="auto" w:fill="F2F2F2" w:themeFill="background1" w:themeFillShade="F2"/>
          </w:tcPr>
          <w:p w:rsidR="00592246" w:rsidRPr="00DB7AD0" w:rsidRDefault="00592246" w:rsidP="004E050E">
            <w:pPr>
              <w:jc w:val="both"/>
              <w:rPr>
                <w:rFonts w:ascii="Open Sans" w:hAnsi="Open Sans" w:cs="Open Sans"/>
                <w:sz w:val="20"/>
                <w:szCs w:val="20"/>
                <w:lang w:val="en-GB"/>
              </w:rPr>
            </w:pPr>
            <w:r w:rsidRPr="00DB7AD0">
              <w:rPr>
                <w:rFonts w:ascii="Open Sans" w:hAnsi="Open Sans" w:cs="Open Sans"/>
                <w:sz w:val="20"/>
                <w:szCs w:val="20"/>
                <w:lang w:val="en-GB"/>
              </w:rPr>
              <w:t>Only ground and below grade storeys</w:t>
            </w:r>
          </w:p>
        </w:tc>
        <w:tc>
          <w:tcPr>
            <w:tcW w:w="3291" w:type="dxa"/>
            <w:tcBorders>
              <w:left w:val="single" w:sz="4" w:space="0" w:color="BFBFBF" w:themeColor="background1" w:themeShade="BF"/>
            </w:tcBorders>
            <w:shd w:val="clear" w:color="auto" w:fill="F2F2F2" w:themeFill="background1" w:themeFillShade="F2"/>
          </w:tcPr>
          <w:p w:rsidR="00592246" w:rsidRPr="00DB7AD0" w:rsidRDefault="00592246" w:rsidP="004E050E">
            <w:pPr>
              <w:jc w:val="both"/>
              <w:rPr>
                <w:rFonts w:ascii="Open Sans" w:hAnsi="Open Sans" w:cs="Open Sans"/>
                <w:sz w:val="20"/>
                <w:szCs w:val="20"/>
                <w:lang w:val="en-GB"/>
              </w:rPr>
            </w:pPr>
            <w:r w:rsidRPr="00DB7AD0">
              <w:rPr>
                <w:rFonts w:ascii="Open Sans" w:hAnsi="Open Sans" w:cs="Open Sans"/>
                <w:sz w:val="20"/>
                <w:szCs w:val="20"/>
                <w:lang w:val="en-GB"/>
              </w:rPr>
              <w:t>Only movables in the ground and below grade storeys</w:t>
            </w:r>
          </w:p>
        </w:tc>
      </w:tr>
      <w:tr w:rsidR="00592246" w:rsidTr="004E050E">
        <w:tc>
          <w:tcPr>
            <w:tcW w:w="2093" w:type="dxa"/>
            <w:tcBorders>
              <w:right w:val="single" w:sz="4" w:space="0" w:color="BFBFBF" w:themeColor="background1" w:themeShade="BF"/>
            </w:tcBorders>
          </w:tcPr>
          <w:p w:rsidR="00592246" w:rsidRPr="00DB7AD0" w:rsidRDefault="00592246" w:rsidP="004E050E">
            <w:pPr>
              <w:jc w:val="both"/>
              <w:rPr>
                <w:rFonts w:ascii="Open Sans" w:hAnsi="Open Sans" w:cs="Open Sans"/>
                <w:sz w:val="20"/>
                <w:szCs w:val="20"/>
              </w:rPr>
            </w:pPr>
            <w:r w:rsidRPr="00DB7AD0">
              <w:rPr>
                <w:rFonts w:ascii="Open Sans" w:hAnsi="Open Sans" w:cs="Open Sans"/>
                <w:sz w:val="20"/>
                <w:szCs w:val="20"/>
                <w:lang w:val="en-GB"/>
              </w:rPr>
              <w:t>Seismicity</w:t>
            </w:r>
          </w:p>
        </w:tc>
        <w:tc>
          <w:tcPr>
            <w:tcW w:w="3260" w:type="dxa"/>
            <w:tcBorders>
              <w:left w:val="single" w:sz="4" w:space="0" w:color="BFBFBF" w:themeColor="background1" w:themeShade="BF"/>
              <w:right w:val="single" w:sz="4" w:space="0" w:color="BFBFBF" w:themeColor="background1" w:themeShade="BF"/>
            </w:tcBorders>
          </w:tcPr>
          <w:p w:rsidR="00592246" w:rsidRPr="00DB7AD0" w:rsidRDefault="00592246" w:rsidP="004E050E">
            <w:pPr>
              <w:jc w:val="both"/>
              <w:rPr>
                <w:rFonts w:ascii="Open Sans" w:hAnsi="Open Sans" w:cs="Open Sans"/>
                <w:sz w:val="20"/>
                <w:szCs w:val="20"/>
              </w:rPr>
            </w:pPr>
            <w:r w:rsidRPr="00DB7AD0">
              <w:rPr>
                <w:rFonts w:ascii="Open Sans" w:hAnsi="Open Sans" w:cs="Open Sans"/>
                <w:sz w:val="20"/>
                <w:szCs w:val="20"/>
                <w:lang w:val="en-GB"/>
              </w:rPr>
              <w:t>Entire building</w:t>
            </w:r>
          </w:p>
        </w:tc>
        <w:tc>
          <w:tcPr>
            <w:tcW w:w="3291" w:type="dxa"/>
            <w:tcBorders>
              <w:left w:val="single" w:sz="4" w:space="0" w:color="BFBFBF" w:themeColor="background1" w:themeShade="BF"/>
            </w:tcBorders>
          </w:tcPr>
          <w:p w:rsidR="00592246" w:rsidRPr="00DB7AD0" w:rsidRDefault="00592246" w:rsidP="004E050E">
            <w:pPr>
              <w:jc w:val="both"/>
              <w:rPr>
                <w:rFonts w:ascii="Open Sans" w:hAnsi="Open Sans" w:cs="Open Sans"/>
                <w:sz w:val="20"/>
                <w:szCs w:val="20"/>
              </w:rPr>
            </w:pPr>
            <w:r w:rsidRPr="00DB7AD0">
              <w:rPr>
                <w:rFonts w:ascii="Open Sans" w:hAnsi="Open Sans" w:cs="Open Sans"/>
                <w:sz w:val="20"/>
                <w:szCs w:val="20"/>
                <w:lang w:val="en-GB"/>
              </w:rPr>
              <w:t>None</w:t>
            </w:r>
          </w:p>
        </w:tc>
      </w:tr>
      <w:tr w:rsidR="00592246" w:rsidTr="004E050E">
        <w:tc>
          <w:tcPr>
            <w:tcW w:w="2093" w:type="dxa"/>
            <w:tcBorders>
              <w:right w:val="single" w:sz="4" w:space="0" w:color="BFBFBF" w:themeColor="background1" w:themeShade="BF"/>
            </w:tcBorders>
            <w:shd w:val="clear" w:color="auto" w:fill="F2F2F2" w:themeFill="background1" w:themeFillShade="F2"/>
          </w:tcPr>
          <w:p w:rsidR="00592246" w:rsidRPr="00DB7AD0" w:rsidRDefault="00592246" w:rsidP="004E050E">
            <w:pPr>
              <w:jc w:val="both"/>
              <w:rPr>
                <w:rFonts w:ascii="Open Sans" w:hAnsi="Open Sans" w:cs="Open Sans"/>
                <w:sz w:val="20"/>
                <w:szCs w:val="20"/>
              </w:rPr>
            </w:pPr>
            <w:r w:rsidRPr="00DB7AD0">
              <w:rPr>
                <w:rFonts w:ascii="Open Sans" w:hAnsi="Open Sans" w:cs="Open Sans"/>
                <w:sz w:val="20"/>
                <w:szCs w:val="20"/>
                <w:lang w:val="en-GB"/>
              </w:rPr>
              <w:t>Volcanism</w:t>
            </w:r>
          </w:p>
        </w:tc>
        <w:tc>
          <w:tcPr>
            <w:tcW w:w="3260" w:type="dxa"/>
            <w:tcBorders>
              <w:left w:val="single" w:sz="4" w:space="0" w:color="BFBFBF" w:themeColor="background1" w:themeShade="BF"/>
              <w:right w:val="single" w:sz="4" w:space="0" w:color="BFBFBF" w:themeColor="background1" w:themeShade="BF"/>
            </w:tcBorders>
            <w:shd w:val="clear" w:color="auto" w:fill="F2F2F2" w:themeFill="background1" w:themeFillShade="F2"/>
          </w:tcPr>
          <w:p w:rsidR="00592246" w:rsidRPr="00DB7AD0" w:rsidRDefault="00592246" w:rsidP="004E050E">
            <w:pPr>
              <w:jc w:val="both"/>
              <w:rPr>
                <w:rFonts w:ascii="Open Sans" w:hAnsi="Open Sans" w:cs="Open Sans"/>
                <w:sz w:val="20"/>
                <w:szCs w:val="20"/>
              </w:rPr>
            </w:pPr>
            <w:r w:rsidRPr="00DB7AD0">
              <w:rPr>
                <w:rFonts w:ascii="Open Sans" w:hAnsi="Open Sans" w:cs="Open Sans"/>
                <w:sz w:val="20"/>
                <w:szCs w:val="20"/>
                <w:lang w:val="en-GB"/>
              </w:rPr>
              <w:t>Entire building</w:t>
            </w:r>
          </w:p>
        </w:tc>
        <w:tc>
          <w:tcPr>
            <w:tcW w:w="3291" w:type="dxa"/>
            <w:tcBorders>
              <w:left w:val="single" w:sz="4" w:space="0" w:color="BFBFBF" w:themeColor="background1" w:themeShade="BF"/>
            </w:tcBorders>
            <w:shd w:val="clear" w:color="auto" w:fill="F2F2F2" w:themeFill="background1" w:themeFillShade="F2"/>
          </w:tcPr>
          <w:p w:rsidR="00592246" w:rsidRPr="00DB7AD0" w:rsidRDefault="00592246" w:rsidP="004E050E">
            <w:pPr>
              <w:jc w:val="both"/>
              <w:rPr>
                <w:rFonts w:ascii="Open Sans" w:hAnsi="Open Sans" w:cs="Open Sans"/>
                <w:sz w:val="20"/>
                <w:szCs w:val="20"/>
              </w:rPr>
            </w:pPr>
            <w:r w:rsidRPr="00DB7AD0">
              <w:rPr>
                <w:rFonts w:ascii="Open Sans" w:hAnsi="Open Sans" w:cs="Open Sans"/>
                <w:sz w:val="20"/>
                <w:szCs w:val="20"/>
                <w:lang w:val="en-GB"/>
              </w:rPr>
              <w:t>All</w:t>
            </w:r>
          </w:p>
        </w:tc>
      </w:tr>
    </w:tbl>
    <w:p w:rsidR="00C5445E" w:rsidRPr="00C5445E" w:rsidRDefault="00C5445E" w:rsidP="00C5445E">
      <w:pPr>
        <w:rPr>
          <w:rFonts w:ascii="Open Sans" w:hAnsi="Open Sans" w:cs="Open Sans"/>
          <w:sz w:val="20"/>
          <w:szCs w:val="20"/>
        </w:rPr>
      </w:pPr>
    </w:p>
    <w:p w:rsidR="00592246" w:rsidRPr="00DB7AD0" w:rsidRDefault="00592246" w:rsidP="00592246">
      <w:pPr>
        <w:jc w:val="both"/>
        <w:rPr>
          <w:rFonts w:ascii="Open Sans" w:hAnsi="Open Sans" w:cs="Open Sans"/>
          <w:sz w:val="20"/>
          <w:szCs w:val="20"/>
          <w:lang w:val="en-GB"/>
        </w:rPr>
      </w:pPr>
      <w:r w:rsidRPr="00DB7AD0">
        <w:rPr>
          <w:rFonts w:ascii="Open Sans" w:hAnsi="Open Sans" w:cs="Open Sans"/>
          <w:sz w:val="20"/>
          <w:szCs w:val="20"/>
          <w:lang w:val="en-GB"/>
        </w:rPr>
        <w:t>Cadastre database cleansing operations for GIS analysis included the elimination or correction, as appropriate, of topological errors such as overlaps (plots sharing the same space), duplications (perhaps the result of past revisions), open polygons, polygons with negligible areas or none at all, and gaps. Another question that had to be addressed was the discrepancy between alpha-numerical and graphic records, more than likely the outcome of separate updating of the graphic and alpha-numerical divisions of the database. Once the databases had been cleansed, the total value of all the buildings on each cadastral plot was found to reduce the number of elements to be studied and ensure the confidentiality of the information processed.</w:t>
      </w:r>
    </w:p>
    <w:p w:rsidR="00C5445E" w:rsidRDefault="00C5445E" w:rsidP="00C5445E">
      <w:pPr>
        <w:rPr>
          <w:rFonts w:ascii="Open Sans" w:hAnsi="Open Sans" w:cs="Open Sans"/>
          <w:sz w:val="20"/>
          <w:szCs w:val="20"/>
        </w:rPr>
      </w:pPr>
      <w:r>
        <w:rPr>
          <w:rFonts w:ascii="Open Sans" w:hAnsi="Open Sans" w:cs="Open Sans"/>
          <w:noProof/>
          <w:sz w:val="20"/>
          <w:szCs w:val="20"/>
          <w:lang w:eastAsia="es-ES"/>
        </w:rPr>
        <w:drawing>
          <wp:inline distT="0" distB="0" distL="0" distR="0" wp14:anchorId="37B661E8" wp14:editId="6AD6E263">
            <wp:extent cx="5400040" cy="18415"/>
            <wp:effectExtent l="0" t="0" r="0" b="635"/>
            <wp:docPr id="2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parador.png"/>
                    <pic:cNvPicPr/>
                  </pic:nvPicPr>
                  <pic:blipFill>
                    <a:blip r:embed="rId9">
                      <a:extLst>
                        <a:ext uri="{28A0092B-C50C-407E-A947-70E740481C1C}">
                          <a14:useLocalDpi xmlns:a14="http://schemas.microsoft.com/office/drawing/2010/main" val="0"/>
                        </a:ext>
                      </a:extLst>
                    </a:blip>
                    <a:stretch>
                      <a:fillRect/>
                    </a:stretch>
                  </pic:blipFill>
                  <pic:spPr>
                    <a:xfrm>
                      <a:off x="0" y="0"/>
                      <a:ext cx="5400040" cy="18415"/>
                    </a:xfrm>
                    <a:prstGeom prst="rect">
                      <a:avLst/>
                    </a:prstGeom>
                  </pic:spPr>
                </pic:pic>
              </a:graphicData>
            </a:graphic>
          </wp:inline>
        </w:drawing>
      </w:r>
    </w:p>
    <w:p w:rsidR="00C5445E" w:rsidRPr="00732120" w:rsidRDefault="00592246" w:rsidP="00732120">
      <w:pPr>
        <w:pStyle w:val="ListParagraph"/>
        <w:numPr>
          <w:ilvl w:val="0"/>
          <w:numId w:val="11"/>
        </w:numPr>
        <w:ind w:left="284" w:hanging="284"/>
        <w:rPr>
          <w:rFonts w:ascii="Open Sans" w:hAnsi="Open Sans" w:cs="Open Sans"/>
          <w:color w:val="A70B2C"/>
          <w:sz w:val="28"/>
          <w:szCs w:val="28"/>
          <w:lang w:val="en-US"/>
        </w:rPr>
      </w:pPr>
      <w:r w:rsidRPr="00732120">
        <w:rPr>
          <w:rFonts w:ascii="Open Sans" w:hAnsi="Open Sans" w:cs="Open Sans"/>
          <w:color w:val="A70B2C"/>
          <w:sz w:val="28"/>
          <w:szCs w:val="28"/>
          <w:lang w:val="en-US"/>
        </w:rPr>
        <w:t>Vulnerability</w:t>
      </w:r>
    </w:p>
    <w:p w:rsidR="00592246" w:rsidRPr="00DB7AD0" w:rsidRDefault="00592246" w:rsidP="00592246">
      <w:pPr>
        <w:jc w:val="both"/>
        <w:rPr>
          <w:rFonts w:ascii="Open Sans" w:hAnsi="Open Sans" w:cs="Open Sans"/>
          <w:sz w:val="20"/>
          <w:szCs w:val="20"/>
          <w:lang w:val="en-GB"/>
        </w:rPr>
      </w:pPr>
      <w:r w:rsidRPr="00DB7AD0">
        <w:rPr>
          <w:rFonts w:ascii="Open Sans" w:hAnsi="Open Sans" w:cs="Open Sans"/>
          <w:sz w:val="20"/>
          <w:szCs w:val="20"/>
          <w:lang w:val="en-GB"/>
        </w:rPr>
        <w:t>Cadastral plot vulnerability to lava flows was assumed to be 100 %; in other words, the damage to any plot affected by a lava flow would be equal to the value of the buildings standing on it and their contents. That assumption was an acknowledgement that infrastructures are not designed to bear either substantial horizontal loads or the temperatures reached by natural incandescent materials and that once the lava solidifies, the infrastructure is irrecoverable.</w:t>
      </w:r>
    </w:p>
    <w:p w:rsidR="00592246" w:rsidRPr="00DB7AD0" w:rsidRDefault="00592246" w:rsidP="00592246">
      <w:pPr>
        <w:jc w:val="both"/>
        <w:rPr>
          <w:rFonts w:ascii="Open Sans" w:hAnsi="Open Sans" w:cs="Open Sans"/>
          <w:sz w:val="20"/>
          <w:szCs w:val="20"/>
          <w:lang w:val="en-GB"/>
        </w:rPr>
      </w:pPr>
      <w:r w:rsidRPr="00DB7AD0">
        <w:rPr>
          <w:rFonts w:ascii="Open Sans" w:hAnsi="Open Sans" w:cs="Open Sans"/>
          <w:sz w:val="20"/>
          <w:szCs w:val="20"/>
          <w:lang w:val="en-GB"/>
        </w:rPr>
        <w:t xml:space="preserve">For seismicity, the reference adopted was the 1998 European </w:t>
      </w:r>
      <w:proofErr w:type="spellStart"/>
      <w:r w:rsidRPr="00DB7AD0">
        <w:rPr>
          <w:rFonts w:ascii="Open Sans" w:hAnsi="Open Sans" w:cs="Open Sans"/>
          <w:sz w:val="20"/>
          <w:szCs w:val="20"/>
          <w:lang w:val="en-GB"/>
        </w:rPr>
        <w:t>Macroseismic</w:t>
      </w:r>
      <w:proofErr w:type="spellEnd"/>
      <w:r w:rsidRPr="00DB7AD0">
        <w:rPr>
          <w:rFonts w:ascii="Open Sans" w:hAnsi="Open Sans" w:cs="Open Sans"/>
          <w:sz w:val="20"/>
          <w:szCs w:val="20"/>
          <w:lang w:val="en-GB"/>
        </w:rPr>
        <w:t xml:space="preserve"> Scale (EMS98), which grades expected earthquake damage by the theoretical intensity calculated. First the buildings were classified into one of the construction types set out in the EMS98 and, based on the intensity calculated for each building’s </w:t>
      </w:r>
      <w:proofErr w:type="gramStart"/>
      <w:r w:rsidRPr="00DB7AD0">
        <w:rPr>
          <w:rFonts w:ascii="Open Sans" w:hAnsi="Open Sans" w:cs="Open Sans"/>
          <w:sz w:val="20"/>
          <w:szCs w:val="20"/>
          <w:lang w:val="en-GB"/>
        </w:rPr>
        <w:t>centroid,</w:t>
      </w:r>
      <w:proofErr w:type="gramEnd"/>
      <w:r w:rsidRPr="00DB7AD0">
        <w:rPr>
          <w:rFonts w:ascii="Open Sans" w:hAnsi="Open Sans" w:cs="Open Sans"/>
          <w:sz w:val="20"/>
          <w:szCs w:val="20"/>
          <w:lang w:val="en-GB"/>
        </w:rPr>
        <w:t xml:space="preserve"> a percentage of expected damage was deduced from the EMS98.</w:t>
      </w:r>
    </w:p>
    <w:p w:rsidR="00592246" w:rsidRPr="00DB7AD0" w:rsidRDefault="00592246" w:rsidP="00592246">
      <w:pPr>
        <w:jc w:val="both"/>
        <w:rPr>
          <w:rFonts w:ascii="Open Sans" w:hAnsi="Open Sans" w:cs="Open Sans"/>
          <w:sz w:val="20"/>
          <w:szCs w:val="20"/>
          <w:lang w:val="en-GB"/>
        </w:rPr>
      </w:pPr>
      <w:r w:rsidRPr="00DB7AD0">
        <w:rPr>
          <w:rFonts w:ascii="Open Sans" w:hAnsi="Open Sans" w:cs="Open Sans"/>
          <w:sz w:val="20"/>
          <w:szCs w:val="20"/>
          <w:lang w:val="en-GB"/>
        </w:rPr>
        <w:t>A similar criterion was applied for flooding. Content losses were calculated on the grounds of the expected flood depth in each plot and known damage thresholds, while the value of buildings was only included for elevations at which structural damage could be expected.</w:t>
      </w:r>
      <w:r w:rsidR="00B36D8B">
        <w:rPr>
          <w:rFonts w:ascii="Open Sans" w:hAnsi="Open Sans" w:cs="Open Sans"/>
          <w:sz w:val="20"/>
          <w:szCs w:val="20"/>
          <w:lang w:val="en-GB"/>
        </w:rPr>
        <w:br/>
      </w:r>
    </w:p>
    <w:p w:rsidR="00C5445E" w:rsidRDefault="00C5445E" w:rsidP="00C5445E">
      <w:pPr>
        <w:rPr>
          <w:rFonts w:ascii="Open Sans" w:hAnsi="Open Sans" w:cs="Open Sans"/>
          <w:sz w:val="20"/>
          <w:szCs w:val="20"/>
        </w:rPr>
      </w:pPr>
      <w:r>
        <w:rPr>
          <w:rFonts w:ascii="Open Sans" w:hAnsi="Open Sans" w:cs="Open Sans"/>
          <w:noProof/>
          <w:sz w:val="20"/>
          <w:szCs w:val="20"/>
          <w:lang w:eastAsia="es-ES"/>
        </w:rPr>
        <w:drawing>
          <wp:inline distT="0" distB="0" distL="0" distR="0" wp14:anchorId="3315B87A" wp14:editId="6352F091">
            <wp:extent cx="5400040" cy="18415"/>
            <wp:effectExtent l="0" t="0" r="0" b="635"/>
            <wp:docPr id="2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parador.png"/>
                    <pic:cNvPicPr/>
                  </pic:nvPicPr>
                  <pic:blipFill>
                    <a:blip r:embed="rId9">
                      <a:extLst>
                        <a:ext uri="{28A0092B-C50C-407E-A947-70E740481C1C}">
                          <a14:useLocalDpi xmlns:a14="http://schemas.microsoft.com/office/drawing/2010/main" val="0"/>
                        </a:ext>
                      </a:extLst>
                    </a:blip>
                    <a:stretch>
                      <a:fillRect/>
                    </a:stretch>
                  </pic:blipFill>
                  <pic:spPr>
                    <a:xfrm>
                      <a:off x="0" y="0"/>
                      <a:ext cx="5400040" cy="18415"/>
                    </a:xfrm>
                    <a:prstGeom prst="rect">
                      <a:avLst/>
                    </a:prstGeom>
                  </pic:spPr>
                </pic:pic>
              </a:graphicData>
            </a:graphic>
          </wp:inline>
        </w:drawing>
      </w:r>
      <w:r w:rsidR="00B36D8B">
        <w:rPr>
          <w:rFonts w:ascii="Open Sans" w:hAnsi="Open Sans" w:cs="Open Sans"/>
          <w:sz w:val="20"/>
          <w:szCs w:val="20"/>
        </w:rPr>
        <w:br/>
      </w:r>
    </w:p>
    <w:p w:rsidR="00A75455" w:rsidRPr="00732120" w:rsidRDefault="00592246" w:rsidP="00732120">
      <w:pPr>
        <w:pStyle w:val="ListParagraph"/>
        <w:numPr>
          <w:ilvl w:val="0"/>
          <w:numId w:val="11"/>
        </w:numPr>
        <w:ind w:left="284" w:hanging="284"/>
        <w:rPr>
          <w:rFonts w:ascii="Open Sans" w:hAnsi="Open Sans" w:cs="Open Sans"/>
          <w:color w:val="A70B2C"/>
          <w:sz w:val="28"/>
          <w:szCs w:val="28"/>
          <w:lang w:val="en-US"/>
        </w:rPr>
      </w:pPr>
      <w:r w:rsidRPr="00732120">
        <w:rPr>
          <w:rFonts w:ascii="Open Sans" w:hAnsi="Open Sans" w:cs="Open Sans"/>
          <w:color w:val="A70B2C"/>
          <w:sz w:val="28"/>
          <w:szCs w:val="28"/>
          <w:lang w:val="en-US"/>
        </w:rPr>
        <w:lastRenderedPageBreak/>
        <w:t>Flood Risk</w:t>
      </w:r>
    </w:p>
    <w:p w:rsidR="00592246" w:rsidRPr="00DB7AD0" w:rsidRDefault="00592246" w:rsidP="00592246">
      <w:pPr>
        <w:jc w:val="both"/>
        <w:rPr>
          <w:rFonts w:ascii="Open Sans" w:hAnsi="Open Sans" w:cs="Open Sans"/>
          <w:sz w:val="20"/>
          <w:szCs w:val="20"/>
          <w:lang w:val="en-GB"/>
        </w:rPr>
      </w:pPr>
      <w:r w:rsidRPr="00DB7AD0">
        <w:rPr>
          <w:rFonts w:ascii="Open Sans" w:hAnsi="Open Sans" w:cs="Open Sans"/>
          <w:sz w:val="20"/>
          <w:szCs w:val="20"/>
          <w:lang w:val="en-GB"/>
        </w:rPr>
        <w:t xml:space="preserve">Canary Island flood prone zones are normally narrow strips because the archipelago’s non-permanent and torrential </w:t>
      </w:r>
      <w:proofErr w:type="gramStart"/>
      <w:r w:rsidRPr="00DB7AD0">
        <w:rPr>
          <w:rFonts w:ascii="Open Sans" w:hAnsi="Open Sans" w:cs="Open Sans"/>
          <w:sz w:val="20"/>
          <w:szCs w:val="20"/>
          <w:lang w:val="en-GB"/>
        </w:rPr>
        <w:t>hydrology</w:t>
      </w:r>
      <w:r w:rsidR="001A3FC6" w:rsidRPr="001A3FC6">
        <w:rPr>
          <w:rFonts w:ascii="Open Sans" w:hAnsi="Open Sans" w:cs="Open Sans"/>
          <w:color w:val="A70B2C"/>
          <w:sz w:val="20"/>
          <w:szCs w:val="20"/>
          <w:lang w:val="en-GB"/>
        </w:rPr>
        <w:t>(</w:t>
      </w:r>
      <w:proofErr w:type="gramEnd"/>
      <w:r w:rsidR="001A3FC6" w:rsidRPr="001A3FC6">
        <w:rPr>
          <w:rFonts w:ascii="Open Sans" w:hAnsi="Open Sans" w:cs="Open Sans"/>
          <w:color w:val="A70B2C"/>
          <w:sz w:val="20"/>
          <w:szCs w:val="20"/>
          <w:lang w:val="en-GB"/>
        </w:rPr>
        <w:t>6)</w:t>
      </w:r>
      <w:r w:rsidRPr="001A3FC6">
        <w:rPr>
          <w:rFonts w:ascii="Open Sans" w:hAnsi="Open Sans" w:cs="Open Sans"/>
          <w:color w:val="A70B2C"/>
          <w:sz w:val="20"/>
          <w:szCs w:val="20"/>
          <w:lang w:val="en-GB"/>
        </w:rPr>
        <w:t xml:space="preserve"> </w:t>
      </w:r>
      <w:r w:rsidRPr="00DB7AD0">
        <w:rPr>
          <w:rFonts w:ascii="Open Sans" w:hAnsi="Open Sans" w:cs="Open Sans"/>
          <w:sz w:val="20"/>
          <w:szCs w:val="20"/>
          <w:lang w:val="en-GB"/>
        </w:rPr>
        <w:t>and steep slopes have formed deep riverbeds and narrow valleys. The essentially flat areas on the coast, however, or where valleys have widened, may give rise to larger flood zones with shallower depths and lower flow rates than in medium and high reaches.</w:t>
      </w:r>
    </w:p>
    <w:p w:rsidR="00592246" w:rsidRDefault="00592246" w:rsidP="00592246">
      <w:pPr>
        <w:jc w:val="both"/>
        <w:rPr>
          <w:rFonts w:ascii="Open Sans" w:hAnsi="Open Sans" w:cs="Open Sans"/>
          <w:sz w:val="20"/>
          <w:szCs w:val="20"/>
          <w:lang w:val="en-GB"/>
        </w:rPr>
      </w:pPr>
      <w:r w:rsidRPr="00DB7AD0">
        <w:rPr>
          <w:rFonts w:ascii="Open Sans" w:hAnsi="Open Sans" w:cs="Open Sans"/>
          <w:sz w:val="20"/>
          <w:szCs w:val="20"/>
          <w:lang w:val="en-GB"/>
        </w:rPr>
        <w:t>The findings showed that ground and below grade storeys account for nearly 65 % of the total value, while the value of all the scenarios considered amounts to less than 30 % of the total. In other words, over 70 % of the total value of all the property in the archipelago lies outside the flood prone areas defined in the model. However, the model developed showed that not all the zones where the chance of yearly occurrence is 0.2 % can be flooded at the same time. Scenarios were consequently defined to foresee losses in ways consistent with a 0.2 % yearly likelihood. The least favourable of all the scenarios thus constructed were chosen and divided into two groups, depending on whether a single basin or a group of basins would be affected, as summarised below.</w:t>
      </w:r>
    </w:p>
    <w:p w:rsidR="00592246" w:rsidRDefault="00592246" w:rsidP="00592246">
      <w:pPr>
        <w:pStyle w:val="ListParagraph"/>
        <w:numPr>
          <w:ilvl w:val="0"/>
          <w:numId w:val="6"/>
        </w:numPr>
        <w:jc w:val="both"/>
        <w:rPr>
          <w:rFonts w:ascii="Open Sans" w:hAnsi="Open Sans" w:cs="Open Sans"/>
          <w:sz w:val="20"/>
          <w:szCs w:val="20"/>
          <w:lang w:val="en-GB"/>
        </w:rPr>
      </w:pPr>
      <w:r w:rsidRPr="00DB7AD0">
        <w:rPr>
          <w:rFonts w:ascii="Open Sans" w:hAnsi="Open Sans" w:cs="Open Sans"/>
          <w:sz w:val="20"/>
          <w:szCs w:val="20"/>
          <w:lang w:val="en-GB"/>
        </w:rPr>
        <w:t>The worst-case scenarios for each island and one basin only are listed in the following table:</w:t>
      </w:r>
    </w:p>
    <w:tbl>
      <w:tblPr>
        <w:tblW w:w="8755" w:type="dxa"/>
        <w:tblInd w:w="-108" w:type="dxa"/>
        <w:tblCellMar>
          <w:left w:w="0" w:type="dxa"/>
          <w:right w:w="0" w:type="dxa"/>
        </w:tblCellMar>
        <w:tblLook w:val="04A0" w:firstRow="1" w:lastRow="0" w:firstColumn="1" w:lastColumn="0" w:noHBand="0" w:noVBand="1"/>
      </w:tblPr>
      <w:tblGrid>
        <w:gridCol w:w="108"/>
        <w:gridCol w:w="3398"/>
        <w:gridCol w:w="2272"/>
        <w:gridCol w:w="2977"/>
      </w:tblGrid>
      <w:tr w:rsidR="00592246" w:rsidRPr="000B2EE5" w:rsidTr="006A5CCB">
        <w:trPr>
          <w:cantSplit/>
        </w:trPr>
        <w:tc>
          <w:tcPr>
            <w:tcW w:w="108" w:type="dxa"/>
            <w:shd w:val="clear" w:color="auto" w:fill="A70B2C"/>
          </w:tcPr>
          <w:p w:rsidR="00592246" w:rsidRDefault="00592246" w:rsidP="000B2EE5">
            <w:pPr>
              <w:spacing w:after="0" w:line="240" w:lineRule="exact"/>
              <w:rPr>
                <w:rFonts w:ascii="Open Sans" w:hAnsi="Open Sans" w:cs="Open Sans"/>
                <w:b/>
                <w:color w:val="FFFFFF" w:themeColor="background1"/>
                <w:sz w:val="20"/>
                <w:szCs w:val="20"/>
              </w:rPr>
            </w:pPr>
            <w:r>
              <w:rPr>
                <w:rFonts w:ascii="Open Sans" w:hAnsi="Open Sans" w:cs="Open Sans"/>
                <w:b/>
                <w:color w:val="FFFFFF" w:themeColor="background1"/>
                <w:sz w:val="20"/>
                <w:szCs w:val="20"/>
              </w:rPr>
              <w:softHyphen/>
            </w:r>
          </w:p>
          <w:p w:rsidR="00592246" w:rsidRDefault="00592246" w:rsidP="000B2EE5">
            <w:pPr>
              <w:spacing w:after="0" w:line="240" w:lineRule="exact"/>
              <w:rPr>
                <w:rFonts w:ascii="Open Sans" w:hAnsi="Open Sans" w:cs="Open Sans"/>
                <w:b/>
                <w:color w:val="FFFFFF" w:themeColor="background1"/>
                <w:sz w:val="20"/>
                <w:szCs w:val="20"/>
              </w:rPr>
            </w:pPr>
          </w:p>
        </w:tc>
        <w:tc>
          <w:tcPr>
            <w:tcW w:w="3398" w:type="dxa"/>
            <w:shd w:val="clear" w:color="auto" w:fill="A70B2C"/>
            <w:tcMar>
              <w:top w:w="15" w:type="dxa"/>
              <w:left w:w="108" w:type="dxa"/>
              <w:bottom w:w="0" w:type="dxa"/>
              <w:right w:w="108" w:type="dxa"/>
            </w:tcMar>
            <w:vAlign w:val="center"/>
            <w:hideMark/>
          </w:tcPr>
          <w:p w:rsidR="00592246" w:rsidRPr="00592246" w:rsidRDefault="00592246" w:rsidP="004E050E">
            <w:pPr>
              <w:spacing w:after="0"/>
              <w:jc w:val="both"/>
              <w:rPr>
                <w:rFonts w:ascii="Open Sans" w:hAnsi="Open Sans" w:cs="Open Sans"/>
                <w:b/>
                <w:color w:val="FFFFFF" w:themeColor="background1"/>
                <w:sz w:val="20"/>
                <w:szCs w:val="20"/>
              </w:rPr>
            </w:pPr>
            <w:r w:rsidRPr="00592246">
              <w:rPr>
                <w:rFonts w:ascii="Open Sans" w:hAnsi="Open Sans" w:cs="Open Sans"/>
                <w:b/>
                <w:color w:val="FFFFFF" w:themeColor="background1"/>
                <w:sz w:val="20"/>
                <w:szCs w:val="20"/>
                <w:lang w:val="en-GB"/>
              </w:rPr>
              <w:t>Island</w:t>
            </w:r>
          </w:p>
        </w:tc>
        <w:tc>
          <w:tcPr>
            <w:tcW w:w="2272" w:type="dxa"/>
            <w:shd w:val="clear" w:color="auto" w:fill="A70B2C"/>
            <w:tcMar>
              <w:top w:w="15" w:type="dxa"/>
              <w:left w:w="108" w:type="dxa"/>
              <w:bottom w:w="0" w:type="dxa"/>
              <w:right w:w="108" w:type="dxa"/>
            </w:tcMar>
            <w:vAlign w:val="center"/>
            <w:hideMark/>
          </w:tcPr>
          <w:p w:rsidR="00592246" w:rsidRPr="00592246" w:rsidRDefault="00592246" w:rsidP="004E050E">
            <w:pPr>
              <w:spacing w:after="0"/>
              <w:jc w:val="both"/>
              <w:rPr>
                <w:rFonts w:ascii="Open Sans" w:hAnsi="Open Sans" w:cs="Open Sans"/>
                <w:b/>
                <w:color w:val="FFFFFF" w:themeColor="background1"/>
                <w:sz w:val="20"/>
                <w:szCs w:val="20"/>
              </w:rPr>
            </w:pPr>
            <w:r w:rsidRPr="00592246">
              <w:rPr>
                <w:rFonts w:ascii="Open Sans" w:hAnsi="Open Sans" w:cs="Open Sans"/>
                <w:b/>
                <w:color w:val="FFFFFF" w:themeColor="background1"/>
                <w:sz w:val="20"/>
                <w:szCs w:val="20"/>
                <w:lang w:val="en-GB"/>
              </w:rPr>
              <w:t>No. plots</w:t>
            </w:r>
          </w:p>
        </w:tc>
        <w:tc>
          <w:tcPr>
            <w:tcW w:w="2977" w:type="dxa"/>
            <w:shd w:val="clear" w:color="auto" w:fill="A70B2C"/>
            <w:tcMar>
              <w:top w:w="15" w:type="dxa"/>
              <w:left w:w="108" w:type="dxa"/>
              <w:bottom w:w="0" w:type="dxa"/>
              <w:right w:w="108" w:type="dxa"/>
            </w:tcMar>
            <w:vAlign w:val="center"/>
            <w:hideMark/>
          </w:tcPr>
          <w:p w:rsidR="00592246" w:rsidRPr="00592246" w:rsidRDefault="00592246" w:rsidP="004E050E">
            <w:pPr>
              <w:spacing w:after="0"/>
              <w:jc w:val="both"/>
              <w:rPr>
                <w:rFonts w:ascii="Open Sans" w:hAnsi="Open Sans" w:cs="Open Sans"/>
                <w:b/>
                <w:color w:val="FFFFFF" w:themeColor="background1"/>
                <w:sz w:val="20"/>
                <w:szCs w:val="20"/>
              </w:rPr>
            </w:pPr>
            <w:r w:rsidRPr="00592246">
              <w:rPr>
                <w:rFonts w:ascii="Open Sans" w:hAnsi="Open Sans" w:cs="Open Sans"/>
                <w:b/>
                <w:color w:val="FFFFFF" w:themeColor="background1"/>
                <w:sz w:val="20"/>
                <w:szCs w:val="20"/>
                <w:lang w:val="en-GB"/>
              </w:rPr>
              <w:t>Risk (mill</w:t>
            </w:r>
            <w:proofErr w:type="gramStart"/>
            <w:r w:rsidRPr="00592246">
              <w:rPr>
                <w:rFonts w:ascii="Open Sans" w:hAnsi="Open Sans" w:cs="Open Sans"/>
                <w:b/>
                <w:color w:val="FFFFFF" w:themeColor="background1"/>
                <w:sz w:val="20"/>
                <w:szCs w:val="20"/>
                <w:lang w:val="en-GB"/>
              </w:rPr>
              <w:t>.€</w:t>
            </w:r>
            <w:proofErr w:type="gramEnd"/>
            <w:r w:rsidRPr="00592246">
              <w:rPr>
                <w:rFonts w:ascii="Open Sans" w:hAnsi="Open Sans" w:cs="Open Sans"/>
                <w:b/>
                <w:color w:val="FFFFFF" w:themeColor="background1"/>
                <w:sz w:val="20"/>
                <w:szCs w:val="20"/>
                <w:lang w:val="en-GB"/>
              </w:rPr>
              <w:t xml:space="preserve">) </w:t>
            </w:r>
          </w:p>
        </w:tc>
      </w:tr>
      <w:tr w:rsidR="00592246" w:rsidRPr="000B2EE5" w:rsidTr="006A5CCB">
        <w:trPr>
          <w:cantSplit/>
        </w:trPr>
        <w:tc>
          <w:tcPr>
            <w:tcW w:w="108" w:type="dxa"/>
            <w:shd w:val="clear" w:color="auto" w:fill="FFFFFF" w:themeFill="background1"/>
          </w:tcPr>
          <w:p w:rsidR="00592246" w:rsidRDefault="00592246" w:rsidP="000B2EE5">
            <w:pPr>
              <w:spacing w:after="0" w:line="240" w:lineRule="auto"/>
              <w:rPr>
                <w:rFonts w:ascii="Open Sans" w:hAnsi="Open Sans" w:cs="Open Sans"/>
                <w:sz w:val="20"/>
                <w:szCs w:val="20"/>
              </w:rPr>
            </w:pPr>
          </w:p>
          <w:p w:rsidR="00592246" w:rsidRPr="000B2EE5" w:rsidRDefault="00592246" w:rsidP="000B2EE5">
            <w:pPr>
              <w:spacing w:after="0" w:line="240" w:lineRule="auto"/>
              <w:rPr>
                <w:rFonts w:ascii="Open Sans" w:hAnsi="Open Sans" w:cs="Open Sans"/>
                <w:sz w:val="20"/>
                <w:szCs w:val="20"/>
              </w:rPr>
            </w:pPr>
          </w:p>
        </w:tc>
        <w:tc>
          <w:tcPr>
            <w:tcW w:w="3398" w:type="dxa"/>
            <w:shd w:val="clear" w:color="auto" w:fill="FFFFFF" w:themeFill="background1"/>
            <w:tcMar>
              <w:top w:w="15" w:type="dxa"/>
              <w:left w:w="108" w:type="dxa"/>
              <w:bottom w:w="0" w:type="dxa"/>
              <w:right w:w="108" w:type="dxa"/>
            </w:tcMar>
            <w:vAlign w:val="center"/>
            <w:hideMark/>
          </w:tcPr>
          <w:p w:rsidR="00592246" w:rsidRPr="00DB7AD0" w:rsidRDefault="00592246" w:rsidP="004E050E">
            <w:pPr>
              <w:spacing w:after="0"/>
              <w:jc w:val="both"/>
              <w:rPr>
                <w:rFonts w:ascii="Open Sans" w:hAnsi="Open Sans" w:cs="Open Sans"/>
                <w:sz w:val="20"/>
                <w:szCs w:val="20"/>
              </w:rPr>
            </w:pPr>
            <w:r w:rsidRPr="00DB7AD0">
              <w:rPr>
                <w:rFonts w:ascii="Open Sans" w:hAnsi="Open Sans" w:cs="Open Sans"/>
                <w:sz w:val="20"/>
                <w:szCs w:val="20"/>
              </w:rPr>
              <w:t>El Hierro (EH)</w:t>
            </w:r>
          </w:p>
        </w:tc>
        <w:tc>
          <w:tcPr>
            <w:tcW w:w="2272" w:type="dxa"/>
            <w:shd w:val="clear" w:color="auto" w:fill="FFFFFF" w:themeFill="background1"/>
            <w:tcMar>
              <w:top w:w="15" w:type="dxa"/>
              <w:left w:w="108" w:type="dxa"/>
              <w:bottom w:w="0" w:type="dxa"/>
              <w:right w:w="108" w:type="dxa"/>
            </w:tcMar>
            <w:vAlign w:val="center"/>
            <w:hideMark/>
          </w:tcPr>
          <w:p w:rsidR="00592246" w:rsidRPr="00DB7AD0" w:rsidRDefault="00592246" w:rsidP="004E050E">
            <w:pPr>
              <w:spacing w:after="0"/>
              <w:jc w:val="both"/>
              <w:rPr>
                <w:rFonts w:ascii="Open Sans" w:hAnsi="Open Sans" w:cs="Open Sans"/>
                <w:sz w:val="20"/>
                <w:szCs w:val="20"/>
              </w:rPr>
            </w:pPr>
            <w:r w:rsidRPr="00DB7AD0">
              <w:rPr>
                <w:rFonts w:ascii="Open Sans" w:hAnsi="Open Sans" w:cs="Open Sans"/>
                <w:sz w:val="20"/>
                <w:szCs w:val="20"/>
              </w:rPr>
              <w:t>240</w:t>
            </w:r>
          </w:p>
        </w:tc>
        <w:tc>
          <w:tcPr>
            <w:tcW w:w="2977" w:type="dxa"/>
            <w:shd w:val="clear" w:color="auto" w:fill="FFFFFF" w:themeFill="background1"/>
            <w:tcMar>
              <w:top w:w="15" w:type="dxa"/>
              <w:left w:w="108" w:type="dxa"/>
              <w:bottom w:w="0" w:type="dxa"/>
              <w:right w:w="108" w:type="dxa"/>
            </w:tcMar>
            <w:vAlign w:val="center"/>
            <w:hideMark/>
          </w:tcPr>
          <w:p w:rsidR="00592246" w:rsidRPr="00DB7AD0" w:rsidRDefault="00592246" w:rsidP="004E050E">
            <w:pPr>
              <w:spacing w:after="0"/>
              <w:jc w:val="both"/>
              <w:rPr>
                <w:rFonts w:ascii="Open Sans" w:hAnsi="Open Sans" w:cs="Open Sans"/>
                <w:sz w:val="20"/>
                <w:szCs w:val="20"/>
              </w:rPr>
            </w:pPr>
            <w:r w:rsidRPr="00DB7AD0">
              <w:rPr>
                <w:rFonts w:ascii="Open Sans" w:hAnsi="Open Sans" w:cs="Open Sans"/>
                <w:sz w:val="20"/>
                <w:szCs w:val="20"/>
              </w:rPr>
              <w:t>2.35</w:t>
            </w:r>
          </w:p>
        </w:tc>
      </w:tr>
      <w:tr w:rsidR="00592246" w:rsidRPr="000B2EE5" w:rsidTr="006A5CCB">
        <w:trPr>
          <w:cantSplit/>
        </w:trPr>
        <w:tc>
          <w:tcPr>
            <w:tcW w:w="108" w:type="dxa"/>
            <w:shd w:val="clear" w:color="auto" w:fill="F2F2F2" w:themeFill="background1" w:themeFillShade="F2"/>
          </w:tcPr>
          <w:p w:rsidR="00592246" w:rsidRDefault="00592246" w:rsidP="000B2EE5">
            <w:pPr>
              <w:spacing w:after="0" w:line="240" w:lineRule="auto"/>
              <w:rPr>
                <w:rFonts w:ascii="Open Sans" w:hAnsi="Open Sans" w:cs="Open Sans"/>
                <w:sz w:val="20"/>
                <w:szCs w:val="20"/>
              </w:rPr>
            </w:pPr>
          </w:p>
          <w:p w:rsidR="00592246" w:rsidRPr="000B2EE5" w:rsidRDefault="00592246" w:rsidP="000B2EE5">
            <w:pPr>
              <w:spacing w:after="0" w:line="240" w:lineRule="auto"/>
              <w:rPr>
                <w:rFonts w:ascii="Open Sans" w:hAnsi="Open Sans" w:cs="Open Sans"/>
                <w:sz w:val="20"/>
                <w:szCs w:val="20"/>
              </w:rPr>
            </w:pPr>
          </w:p>
        </w:tc>
        <w:tc>
          <w:tcPr>
            <w:tcW w:w="3398" w:type="dxa"/>
            <w:shd w:val="clear" w:color="auto" w:fill="F2F2F2" w:themeFill="background1" w:themeFillShade="F2"/>
            <w:tcMar>
              <w:top w:w="15" w:type="dxa"/>
              <w:left w:w="108" w:type="dxa"/>
              <w:bottom w:w="0" w:type="dxa"/>
              <w:right w:w="108" w:type="dxa"/>
            </w:tcMar>
            <w:vAlign w:val="center"/>
            <w:hideMark/>
          </w:tcPr>
          <w:p w:rsidR="00592246" w:rsidRPr="00DB7AD0" w:rsidRDefault="00592246" w:rsidP="004E050E">
            <w:pPr>
              <w:spacing w:after="0"/>
              <w:jc w:val="both"/>
              <w:rPr>
                <w:rFonts w:ascii="Open Sans" w:hAnsi="Open Sans" w:cs="Open Sans"/>
                <w:sz w:val="20"/>
                <w:szCs w:val="20"/>
              </w:rPr>
            </w:pPr>
            <w:r w:rsidRPr="00DB7AD0">
              <w:rPr>
                <w:rFonts w:ascii="Open Sans" w:hAnsi="Open Sans" w:cs="Open Sans"/>
                <w:sz w:val="20"/>
                <w:szCs w:val="20"/>
              </w:rPr>
              <w:t>Fuerteventura (FV)</w:t>
            </w:r>
          </w:p>
        </w:tc>
        <w:tc>
          <w:tcPr>
            <w:tcW w:w="2272" w:type="dxa"/>
            <w:shd w:val="clear" w:color="auto" w:fill="F2F2F2" w:themeFill="background1" w:themeFillShade="F2"/>
            <w:tcMar>
              <w:top w:w="15" w:type="dxa"/>
              <w:left w:w="108" w:type="dxa"/>
              <w:bottom w:w="0" w:type="dxa"/>
              <w:right w:w="108" w:type="dxa"/>
            </w:tcMar>
            <w:vAlign w:val="center"/>
            <w:hideMark/>
          </w:tcPr>
          <w:p w:rsidR="00592246" w:rsidRPr="00DB7AD0" w:rsidRDefault="00592246" w:rsidP="004E050E">
            <w:pPr>
              <w:spacing w:after="0"/>
              <w:jc w:val="both"/>
              <w:rPr>
                <w:rFonts w:ascii="Open Sans" w:hAnsi="Open Sans" w:cs="Open Sans"/>
                <w:sz w:val="20"/>
                <w:szCs w:val="20"/>
              </w:rPr>
            </w:pPr>
            <w:r w:rsidRPr="00DB7AD0">
              <w:rPr>
                <w:rFonts w:ascii="Open Sans" w:hAnsi="Open Sans" w:cs="Open Sans"/>
                <w:sz w:val="20"/>
                <w:szCs w:val="20"/>
              </w:rPr>
              <w:t>320</w:t>
            </w:r>
          </w:p>
        </w:tc>
        <w:tc>
          <w:tcPr>
            <w:tcW w:w="2977" w:type="dxa"/>
            <w:shd w:val="clear" w:color="auto" w:fill="F2F2F2" w:themeFill="background1" w:themeFillShade="F2"/>
            <w:tcMar>
              <w:top w:w="15" w:type="dxa"/>
              <w:left w:w="108" w:type="dxa"/>
              <w:bottom w:w="0" w:type="dxa"/>
              <w:right w:w="108" w:type="dxa"/>
            </w:tcMar>
            <w:vAlign w:val="center"/>
            <w:hideMark/>
          </w:tcPr>
          <w:p w:rsidR="00592246" w:rsidRPr="00DB7AD0" w:rsidRDefault="00592246" w:rsidP="004E050E">
            <w:pPr>
              <w:spacing w:after="0"/>
              <w:jc w:val="both"/>
              <w:rPr>
                <w:rFonts w:ascii="Open Sans" w:hAnsi="Open Sans" w:cs="Open Sans"/>
                <w:sz w:val="20"/>
                <w:szCs w:val="20"/>
              </w:rPr>
            </w:pPr>
            <w:r w:rsidRPr="00DB7AD0">
              <w:rPr>
                <w:rFonts w:ascii="Open Sans" w:hAnsi="Open Sans" w:cs="Open Sans"/>
                <w:sz w:val="20"/>
                <w:szCs w:val="20"/>
              </w:rPr>
              <w:t>262.02</w:t>
            </w:r>
          </w:p>
        </w:tc>
      </w:tr>
      <w:tr w:rsidR="00592246" w:rsidRPr="000B2EE5" w:rsidTr="006A5CCB">
        <w:trPr>
          <w:cantSplit/>
        </w:trPr>
        <w:tc>
          <w:tcPr>
            <w:tcW w:w="108" w:type="dxa"/>
            <w:shd w:val="clear" w:color="auto" w:fill="FFFFFF" w:themeFill="background1"/>
          </w:tcPr>
          <w:p w:rsidR="00592246" w:rsidRDefault="00592246" w:rsidP="000B2EE5">
            <w:pPr>
              <w:spacing w:after="0" w:line="240" w:lineRule="auto"/>
              <w:rPr>
                <w:rFonts w:ascii="Open Sans" w:hAnsi="Open Sans" w:cs="Open Sans"/>
                <w:sz w:val="20"/>
                <w:szCs w:val="20"/>
              </w:rPr>
            </w:pPr>
          </w:p>
          <w:p w:rsidR="00592246" w:rsidRPr="000B2EE5" w:rsidRDefault="00592246" w:rsidP="000B2EE5">
            <w:pPr>
              <w:spacing w:after="0" w:line="240" w:lineRule="auto"/>
              <w:rPr>
                <w:rFonts w:ascii="Open Sans" w:hAnsi="Open Sans" w:cs="Open Sans"/>
                <w:sz w:val="20"/>
                <w:szCs w:val="20"/>
              </w:rPr>
            </w:pPr>
          </w:p>
        </w:tc>
        <w:tc>
          <w:tcPr>
            <w:tcW w:w="3398" w:type="dxa"/>
            <w:shd w:val="clear" w:color="auto" w:fill="FFFFFF" w:themeFill="background1"/>
            <w:tcMar>
              <w:top w:w="15" w:type="dxa"/>
              <w:left w:w="108" w:type="dxa"/>
              <w:bottom w:w="0" w:type="dxa"/>
              <w:right w:w="108" w:type="dxa"/>
            </w:tcMar>
            <w:vAlign w:val="center"/>
            <w:hideMark/>
          </w:tcPr>
          <w:p w:rsidR="00592246" w:rsidRPr="00DB7AD0" w:rsidRDefault="00592246" w:rsidP="004E050E">
            <w:pPr>
              <w:spacing w:after="0"/>
              <w:jc w:val="both"/>
              <w:rPr>
                <w:rFonts w:ascii="Open Sans" w:hAnsi="Open Sans" w:cs="Open Sans"/>
                <w:sz w:val="20"/>
                <w:szCs w:val="20"/>
              </w:rPr>
            </w:pPr>
            <w:r w:rsidRPr="00DB7AD0">
              <w:rPr>
                <w:rFonts w:ascii="Open Sans" w:hAnsi="Open Sans" w:cs="Open Sans"/>
                <w:sz w:val="20"/>
                <w:szCs w:val="20"/>
              </w:rPr>
              <w:t>Gran Canaria (GC)</w:t>
            </w:r>
          </w:p>
        </w:tc>
        <w:tc>
          <w:tcPr>
            <w:tcW w:w="2272" w:type="dxa"/>
            <w:shd w:val="clear" w:color="auto" w:fill="FFFFFF" w:themeFill="background1"/>
            <w:tcMar>
              <w:top w:w="15" w:type="dxa"/>
              <w:left w:w="108" w:type="dxa"/>
              <w:bottom w:w="0" w:type="dxa"/>
              <w:right w:w="108" w:type="dxa"/>
            </w:tcMar>
            <w:vAlign w:val="center"/>
            <w:hideMark/>
          </w:tcPr>
          <w:p w:rsidR="00592246" w:rsidRPr="00DB7AD0" w:rsidRDefault="00592246" w:rsidP="004E050E">
            <w:pPr>
              <w:spacing w:after="0"/>
              <w:jc w:val="both"/>
              <w:rPr>
                <w:rFonts w:ascii="Open Sans" w:hAnsi="Open Sans" w:cs="Open Sans"/>
                <w:sz w:val="20"/>
                <w:szCs w:val="20"/>
              </w:rPr>
            </w:pPr>
            <w:r w:rsidRPr="00DB7AD0">
              <w:rPr>
                <w:rFonts w:ascii="Open Sans" w:hAnsi="Open Sans" w:cs="Open Sans"/>
                <w:sz w:val="20"/>
                <w:szCs w:val="20"/>
              </w:rPr>
              <w:t>636</w:t>
            </w:r>
          </w:p>
        </w:tc>
        <w:tc>
          <w:tcPr>
            <w:tcW w:w="2977" w:type="dxa"/>
            <w:shd w:val="clear" w:color="auto" w:fill="FFFFFF" w:themeFill="background1"/>
            <w:tcMar>
              <w:top w:w="15" w:type="dxa"/>
              <w:left w:w="108" w:type="dxa"/>
              <w:bottom w:w="0" w:type="dxa"/>
              <w:right w:w="108" w:type="dxa"/>
            </w:tcMar>
            <w:vAlign w:val="center"/>
            <w:hideMark/>
          </w:tcPr>
          <w:p w:rsidR="00592246" w:rsidRPr="00DB7AD0" w:rsidRDefault="00592246" w:rsidP="004E050E">
            <w:pPr>
              <w:spacing w:after="0"/>
              <w:jc w:val="both"/>
              <w:rPr>
                <w:rFonts w:ascii="Open Sans" w:hAnsi="Open Sans" w:cs="Open Sans"/>
                <w:sz w:val="20"/>
                <w:szCs w:val="20"/>
              </w:rPr>
            </w:pPr>
            <w:r w:rsidRPr="00DB7AD0">
              <w:rPr>
                <w:rFonts w:ascii="Open Sans" w:hAnsi="Open Sans" w:cs="Open Sans"/>
                <w:sz w:val="20"/>
                <w:szCs w:val="20"/>
              </w:rPr>
              <w:t>235.17</w:t>
            </w:r>
          </w:p>
        </w:tc>
      </w:tr>
      <w:tr w:rsidR="00592246" w:rsidRPr="000B2EE5" w:rsidTr="006A5CCB">
        <w:trPr>
          <w:cantSplit/>
        </w:trPr>
        <w:tc>
          <w:tcPr>
            <w:tcW w:w="108" w:type="dxa"/>
            <w:shd w:val="clear" w:color="auto" w:fill="F2F2F2" w:themeFill="background1" w:themeFillShade="F2"/>
          </w:tcPr>
          <w:p w:rsidR="00592246" w:rsidRDefault="00592246" w:rsidP="000B2EE5">
            <w:pPr>
              <w:spacing w:after="0" w:line="240" w:lineRule="auto"/>
              <w:rPr>
                <w:rFonts w:ascii="Open Sans" w:hAnsi="Open Sans" w:cs="Open Sans"/>
                <w:sz w:val="20"/>
                <w:szCs w:val="20"/>
              </w:rPr>
            </w:pPr>
          </w:p>
          <w:p w:rsidR="00592246" w:rsidRPr="000B2EE5" w:rsidRDefault="00592246" w:rsidP="000B2EE5">
            <w:pPr>
              <w:spacing w:after="0" w:line="240" w:lineRule="auto"/>
              <w:rPr>
                <w:rFonts w:ascii="Open Sans" w:hAnsi="Open Sans" w:cs="Open Sans"/>
                <w:sz w:val="20"/>
                <w:szCs w:val="20"/>
              </w:rPr>
            </w:pPr>
          </w:p>
        </w:tc>
        <w:tc>
          <w:tcPr>
            <w:tcW w:w="3398" w:type="dxa"/>
            <w:shd w:val="clear" w:color="auto" w:fill="F2F2F2" w:themeFill="background1" w:themeFillShade="F2"/>
            <w:tcMar>
              <w:top w:w="15" w:type="dxa"/>
              <w:left w:w="108" w:type="dxa"/>
              <w:bottom w:w="0" w:type="dxa"/>
              <w:right w:w="108" w:type="dxa"/>
            </w:tcMar>
            <w:vAlign w:val="center"/>
            <w:hideMark/>
          </w:tcPr>
          <w:p w:rsidR="00592246" w:rsidRPr="00DB7AD0" w:rsidRDefault="00592246" w:rsidP="004E050E">
            <w:pPr>
              <w:spacing w:after="0"/>
              <w:jc w:val="both"/>
              <w:rPr>
                <w:rFonts w:ascii="Open Sans" w:hAnsi="Open Sans" w:cs="Open Sans"/>
                <w:sz w:val="20"/>
                <w:szCs w:val="20"/>
              </w:rPr>
            </w:pPr>
            <w:r w:rsidRPr="00DB7AD0">
              <w:rPr>
                <w:rFonts w:ascii="Open Sans" w:hAnsi="Open Sans" w:cs="Open Sans"/>
                <w:sz w:val="20"/>
                <w:szCs w:val="20"/>
              </w:rPr>
              <w:t>Lanzarote (LZ)</w:t>
            </w:r>
          </w:p>
        </w:tc>
        <w:tc>
          <w:tcPr>
            <w:tcW w:w="2272" w:type="dxa"/>
            <w:shd w:val="clear" w:color="auto" w:fill="F2F2F2" w:themeFill="background1" w:themeFillShade="F2"/>
            <w:tcMar>
              <w:top w:w="15" w:type="dxa"/>
              <w:left w:w="108" w:type="dxa"/>
              <w:bottom w:w="0" w:type="dxa"/>
              <w:right w:w="108" w:type="dxa"/>
            </w:tcMar>
            <w:vAlign w:val="center"/>
            <w:hideMark/>
          </w:tcPr>
          <w:p w:rsidR="00592246" w:rsidRPr="00DB7AD0" w:rsidRDefault="00592246" w:rsidP="004E050E">
            <w:pPr>
              <w:spacing w:after="0"/>
              <w:jc w:val="both"/>
              <w:rPr>
                <w:rFonts w:ascii="Open Sans" w:hAnsi="Open Sans" w:cs="Open Sans"/>
                <w:sz w:val="20"/>
                <w:szCs w:val="20"/>
              </w:rPr>
            </w:pPr>
            <w:r w:rsidRPr="00DB7AD0">
              <w:rPr>
                <w:rFonts w:ascii="Open Sans" w:hAnsi="Open Sans" w:cs="Open Sans"/>
                <w:sz w:val="20"/>
                <w:szCs w:val="20"/>
              </w:rPr>
              <w:t>2 500</w:t>
            </w:r>
          </w:p>
        </w:tc>
        <w:tc>
          <w:tcPr>
            <w:tcW w:w="2977" w:type="dxa"/>
            <w:shd w:val="clear" w:color="auto" w:fill="F2F2F2" w:themeFill="background1" w:themeFillShade="F2"/>
            <w:tcMar>
              <w:top w:w="15" w:type="dxa"/>
              <w:left w:w="108" w:type="dxa"/>
              <w:bottom w:w="0" w:type="dxa"/>
              <w:right w:w="108" w:type="dxa"/>
            </w:tcMar>
            <w:vAlign w:val="center"/>
            <w:hideMark/>
          </w:tcPr>
          <w:p w:rsidR="00592246" w:rsidRPr="00DB7AD0" w:rsidRDefault="00592246" w:rsidP="004E050E">
            <w:pPr>
              <w:spacing w:after="0"/>
              <w:jc w:val="both"/>
              <w:rPr>
                <w:rFonts w:ascii="Open Sans" w:hAnsi="Open Sans" w:cs="Open Sans"/>
                <w:sz w:val="20"/>
                <w:szCs w:val="20"/>
              </w:rPr>
            </w:pPr>
            <w:r w:rsidRPr="00DB7AD0">
              <w:rPr>
                <w:rFonts w:ascii="Open Sans" w:hAnsi="Open Sans" w:cs="Open Sans"/>
                <w:sz w:val="20"/>
                <w:szCs w:val="20"/>
              </w:rPr>
              <w:t>73.86</w:t>
            </w:r>
          </w:p>
        </w:tc>
      </w:tr>
      <w:tr w:rsidR="00592246" w:rsidRPr="000B2EE5" w:rsidTr="006A5CCB">
        <w:trPr>
          <w:cantSplit/>
        </w:trPr>
        <w:tc>
          <w:tcPr>
            <w:tcW w:w="108" w:type="dxa"/>
            <w:shd w:val="clear" w:color="auto" w:fill="FFFFFF" w:themeFill="background1"/>
          </w:tcPr>
          <w:p w:rsidR="00592246" w:rsidRDefault="00592246" w:rsidP="000B2EE5">
            <w:pPr>
              <w:spacing w:after="0" w:line="240" w:lineRule="auto"/>
              <w:rPr>
                <w:rFonts w:ascii="Open Sans" w:hAnsi="Open Sans" w:cs="Open Sans"/>
                <w:sz w:val="20"/>
                <w:szCs w:val="20"/>
              </w:rPr>
            </w:pPr>
          </w:p>
          <w:p w:rsidR="00592246" w:rsidRPr="000B2EE5" w:rsidRDefault="00592246" w:rsidP="000B2EE5">
            <w:pPr>
              <w:spacing w:after="0" w:line="240" w:lineRule="auto"/>
              <w:rPr>
                <w:rFonts w:ascii="Open Sans" w:hAnsi="Open Sans" w:cs="Open Sans"/>
                <w:sz w:val="20"/>
                <w:szCs w:val="20"/>
              </w:rPr>
            </w:pPr>
          </w:p>
        </w:tc>
        <w:tc>
          <w:tcPr>
            <w:tcW w:w="3398" w:type="dxa"/>
            <w:shd w:val="clear" w:color="auto" w:fill="FFFFFF" w:themeFill="background1"/>
            <w:tcMar>
              <w:top w:w="15" w:type="dxa"/>
              <w:left w:w="108" w:type="dxa"/>
              <w:bottom w:w="0" w:type="dxa"/>
              <w:right w:w="108" w:type="dxa"/>
            </w:tcMar>
            <w:vAlign w:val="center"/>
            <w:hideMark/>
          </w:tcPr>
          <w:p w:rsidR="00592246" w:rsidRPr="00DB7AD0" w:rsidRDefault="00592246" w:rsidP="004E050E">
            <w:pPr>
              <w:spacing w:after="0"/>
              <w:jc w:val="both"/>
              <w:rPr>
                <w:rFonts w:ascii="Open Sans" w:hAnsi="Open Sans" w:cs="Open Sans"/>
                <w:sz w:val="20"/>
                <w:szCs w:val="20"/>
              </w:rPr>
            </w:pPr>
            <w:r w:rsidRPr="00DB7AD0">
              <w:rPr>
                <w:rFonts w:ascii="Open Sans" w:hAnsi="Open Sans" w:cs="Open Sans"/>
                <w:sz w:val="20"/>
                <w:szCs w:val="20"/>
              </w:rPr>
              <w:t>La Gomera (GO)</w:t>
            </w:r>
          </w:p>
        </w:tc>
        <w:tc>
          <w:tcPr>
            <w:tcW w:w="2272" w:type="dxa"/>
            <w:shd w:val="clear" w:color="auto" w:fill="FFFFFF" w:themeFill="background1"/>
            <w:tcMar>
              <w:top w:w="15" w:type="dxa"/>
              <w:left w:w="108" w:type="dxa"/>
              <w:bottom w:w="0" w:type="dxa"/>
              <w:right w:w="108" w:type="dxa"/>
            </w:tcMar>
            <w:vAlign w:val="center"/>
            <w:hideMark/>
          </w:tcPr>
          <w:p w:rsidR="00592246" w:rsidRPr="00DB7AD0" w:rsidRDefault="00592246" w:rsidP="004E050E">
            <w:pPr>
              <w:spacing w:after="0"/>
              <w:jc w:val="both"/>
              <w:rPr>
                <w:rFonts w:ascii="Open Sans" w:hAnsi="Open Sans" w:cs="Open Sans"/>
                <w:sz w:val="20"/>
                <w:szCs w:val="20"/>
              </w:rPr>
            </w:pPr>
            <w:r w:rsidRPr="00DB7AD0">
              <w:rPr>
                <w:rFonts w:ascii="Open Sans" w:hAnsi="Open Sans" w:cs="Open Sans"/>
                <w:sz w:val="20"/>
                <w:szCs w:val="20"/>
              </w:rPr>
              <w:t>539</w:t>
            </w:r>
          </w:p>
        </w:tc>
        <w:tc>
          <w:tcPr>
            <w:tcW w:w="2977" w:type="dxa"/>
            <w:shd w:val="clear" w:color="auto" w:fill="FFFFFF" w:themeFill="background1"/>
            <w:tcMar>
              <w:top w:w="15" w:type="dxa"/>
              <w:left w:w="108" w:type="dxa"/>
              <w:bottom w:w="0" w:type="dxa"/>
              <w:right w:w="108" w:type="dxa"/>
            </w:tcMar>
            <w:vAlign w:val="center"/>
            <w:hideMark/>
          </w:tcPr>
          <w:p w:rsidR="00592246" w:rsidRPr="00DB7AD0" w:rsidRDefault="00592246" w:rsidP="004E050E">
            <w:pPr>
              <w:spacing w:after="0"/>
              <w:jc w:val="both"/>
              <w:rPr>
                <w:rFonts w:ascii="Open Sans" w:hAnsi="Open Sans" w:cs="Open Sans"/>
                <w:sz w:val="20"/>
                <w:szCs w:val="20"/>
              </w:rPr>
            </w:pPr>
            <w:r w:rsidRPr="00DB7AD0">
              <w:rPr>
                <w:rFonts w:ascii="Open Sans" w:hAnsi="Open Sans" w:cs="Open Sans"/>
                <w:sz w:val="20"/>
                <w:szCs w:val="20"/>
              </w:rPr>
              <w:t>21.03</w:t>
            </w:r>
          </w:p>
        </w:tc>
      </w:tr>
      <w:tr w:rsidR="00592246" w:rsidRPr="000B2EE5" w:rsidTr="006A5CCB">
        <w:trPr>
          <w:cantSplit/>
        </w:trPr>
        <w:tc>
          <w:tcPr>
            <w:tcW w:w="108" w:type="dxa"/>
            <w:shd w:val="clear" w:color="auto" w:fill="F2F2F2" w:themeFill="background1" w:themeFillShade="F2"/>
          </w:tcPr>
          <w:p w:rsidR="00592246" w:rsidRPr="000B2EE5" w:rsidRDefault="00592246" w:rsidP="000B2EE5">
            <w:pPr>
              <w:spacing w:after="0" w:line="240" w:lineRule="auto"/>
              <w:rPr>
                <w:rFonts w:ascii="Open Sans" w:hAnsi="Open Sans" w:cs="Open Sans"/>
                <w:sz w:val="20"/>
                <w:szCs w:val="20"/>
              </w:rPr>
            </w:pPr>
            <w:r>
              <w:rPr>
                <w:rFonts w:ascii="Open Sans" w:hAnsi="Open Sans" w:cs="Open Sans"/>
                <w:sz w:val="20"/>
                <w:szCs w:val="20"/>
              </w:rPr>
              <w:br/>
            </w:r>
          </w:p>
        </w:tc>
        <w:tc>
          <w:tcPr>
            <w:tcW w:w="3398" w:type="dxa"/>
            <w:shd w:val="clear" w:color="auto" w:fill="F2F2F2" w:themeFill="background1" w:themeFillShade="F2"/>
            <w:tcMar>
              <w:top w:w="15" w:type="dxa"/>
              <w:left w:w="108" w:type="dxa"/>
              <w:bottom w:w="0" w:type="dxa"/>
              <w:right w:w="108" w:type="dxa"/>
            </w:tcMar>
            <w:vAlign w:val="center"/>
            <w:hideMark/>
          </w:tcPr>
          <w:p w:rsidR="00592246" w:rsidRPr="00DB7AD0" w:rsidRDefault="00592246" w:rsidP="004E050E">
            <w:pPr>
              <w:spacing w:after="0"/>
              <w:jc w:val="both"/>
              <w:rPr>
                <w:rFonts w:ascii="Open Sans" w:hAnsi="Open Sans" w:cs="Open Sans"/>
                <w:sz w:val="20"/>
                <w:szCs w:val="20"/>
              </w:rPr>
            </w:pPr>
            <w:r w:rsidRPr="00DB7AD0">
              <w:rPr>
                <w:rFonts w:ascii="Open Sans" w:hAnsi="Open Sans" w:cs="Open Sans"/>
                <w:sz w:val="20"/>
                <w:szCs w:val="20"/>
              </w:rPr>
              <w:t>La Palma (LP)</w:t>
            </w:r>
          </w:p>
        </w:tc>
        <w:tc>
          <w:tcPr>
            <w:tcW w:w="2272" w:type="dxa"/>
            <w:shd w:val="clear" w:color="auto" w:fill="F2F2F2" w:themeFill="background1" w:themeFillShade="F2"/>
            <w:tcMar>
              <w:top w:w="15" w:type="dxa"/>
              <w:left w:w="108" w:type="dxa"/>
              <w:bottom w:w="0" w:type="dxa"/>
              <w:right w:w="108" w:type="dxa"/>
            </w:tcMar>
            <w:vAlign w:val="center"/>
            <w:hideMark/>
          </w:tcPr>
          <w:p w:rsidR="00592246" w:rsidRPr="00DB7AD0" w:rsidRDefault="00592246" w:rsidP="004E050E">
            <w:pPr>
              <w:spacing w:after="0"/>
              <w:jc w:val="both"/>
              <w:rPr>
                <w:rFonts w:ascii="Open Sans" w:hAnsi="Open Sans" w:cs="Open Sans"/>
                <w:sz w:val="20"/>
                <w:szCs w:val="20"/>
              </w:rPr>
            </w:pPr>
            <w:r w:rsidRPr="00DB7AD0">
              <w:rPr>
                <w:rFonts w:ascii="Open Sans" w:hAnsi="Open Sans" w:cs="Open Sans"/>
                <w:sz w:val="20"/>
                <w:szCs w:val="20"/>
              </w:rPr>
              <w:t>1 096</w:t>
            </w:r>
          </w:p>
        </w:tc>
        <w:tc>
          <w:tcPr>
            <w:tcW w:w="2977" w:type="dxa"/>
            <w:shd w:val="clear" w:color="auto" w:fill="F2F2F2" w:themeFill="background1" w:themeFillShade="F2"/>
            <w:tcMar>
              <w:top w:w="15" w:type="dxa"/>
              <w:left w:w="108" w:type="dxa"/>
              <w:bottom w:w="0" w:type="dxa"/>
              <w:right w:w="108" w:type="dxa"/>
            </w:tcMar>
            <w:vAlign w:val="center"/>
            <w:hideMark/>
          </w:tcPr>
          <w:p w:rsidR="00592246" w:rsidRPr="00DB7AD0" w:rsidRDefault="00592246" w:rsidP="004E050E">
            <w:pPr>
              <w:spacing w:after="0"/>
              <w:jc w:val="both"/>
              <w:rPr>
                <w:rFonts w:ascii="Open Sans" w:hAnsi="Open Sans" w:cs="Open Sans"/>
                <w:sz w:val="20"/>
                <w:szCs w:val="20"/>
              </w:rPr>
            </w:pPr>
            <w:r w:rsidRPr="00DB7AD0">
              <w:rPr>
                <w:rFonts w:ascii="Open Sans" w:hAnsi="Open Sans" w:cs="Open Sans"/>
                <w:sz w:val="20"/>
                <w:szCs w:val="20"/>
              </w:rPr>
              <w:t>23.45</w:t>
            </w:r>
          </w:p>
        </w:tc>
      </w:tr>
      <w:tr w:rsidR="00592246" w:rsidRPr="000B2EE5" w:rsidTr="006A5CCB">
        <w:trPr>
          <w:cantSplit/>
        </w:trPr>
        <w:tc>
          <w:tcPr>
            <w:tcW w:w="108" w:type="dxa"/>
            <w:shd w:val="clear" w:color="auto" w:fill="FFFFFF" w:themeFill="background1"/>
          </w:tcPr>
          <w:p w:rsidR="00592246" w:rsidRPr="000B2EE5" w:rsidRDefault="00592246" w:rsidP="000B2EE5">
            <w:pPr>
              <w:spacing w:after="0" w:line="240" w:lineRule="auto"/>
              <w:rPr>
                <w:rFonts w:ascii="Open Sans" w:hAnsi="Open Sans" w:cs="Open Sans"/>
                <w:sz w:val="20"/>
                <w:szCs w:val="20"/>
              </w:rPr>
            </w:pPr>
            <w:r>
              <w:rPr>
                <w:rFonts w:ascii="Open Sans" w:hAnsi="Open Sans" w:cs="Open Sans"/>
                <w:sz w:val="20"/>
                <w:szCs w:val="20"/>
              </w:rPr>
              <w:br/>
            </w:r>
          </w:p>
        </w:tc>
        <w:tc>
          <w:tcPr>
            <w:tcW w:w="3398" w:type="dxa"/>
            <w:shd w:val="clear" w:color="auto" w:fill="FFFFFF" w:themeFill="background1"/>
            <w:tcMar>
              <w:top w:w="15" w:type="dxa"/>
              <w:left w:w="108" w:type="dxa"/>
              <w:bottom w:w="0" w:type="dxa"/>
              <w:right w:w="108" w:type="dxa"/>
            </w:tcMar>
            <w:vAlign w:val="center"/>
            <w:hideMark/>
          </w:tcPr>
          <w:p w:rsidR="00592246" w:rsidRPr="00DB7AD0" w:rsidRDefault="00592246" w:rsidP="004E050E">
            <w:pPr>
              <w:spacing w:after="0"/>
              <w:jc w:val="both"/>
              <w:rPr>
                <w:rFonts w:ascii="Open Sans" w:hAnsi="Open Sans" w:cs="Open Sans"/>
                <w:sz w:val="20"/>
                <w:szCs w:val="20"/>
              </w:rPr>
            </w:pPr>
            <w:r w:rsidRPr="00DB7AD0">
              <w:rPr>
                <w:rFonts w:ascii="Open Sans" w:hAnsi="Open Sans" w:cs="Open Sans"/>
                <w:sz w:val="20"/>
                <w:szCs w:val="20"/>
              </w:rPr>
              <w:t>Tenerife (TF)</w:t>
            </w:r>
          </w:p>
        </w:tc>
        <w:tc>
          <w:tcPr>
            <w:tcW w:w="2272" w:type="dxa"/>
            <w:shd w:val="clear" w:color="auto" w:fill="FFFFFF" w:themeFill="background1"/>
            <w:tcMar>
              <w:top w:w="15" w:type="dxa"/>
              <w:left w:w="108" w:type="dxa"/>
              <w:bottom w:w="0" w:type="dxa"/>
              <w:right w:w="108" w:type="dxa"/>
            </w:tcMar>
            <w:vAlign w:val="center"/>
            <w:hideMark/>
          </w:tcPr>
          <w:p w:rsidR="00592246" w:rsidRPr="00DB7AD0" w:rsidRDefault="00592246" w:rsidP="004E050E">
            <w:pPr>
              <w:spacing w:after="0"/>
              <w:jc w:val="both"/>
              <w:rPr>
                <w:rFonts w:ascii="Open Sans" w:hAnsi="Open Sans" w:cs="Open Sans"/>
                <w:sz w:val="20"/>
                <w:szCs w:val="20"/>
              </w:rPr>
            </w:pPr>
            <w:r w:rsidRPr="00DB7AD0">
              <w:rPr>
                <w:rFonts w:ascii="Open Sans" w:hAnsi="Open Sans" w:cs="Open Sans"/>
                <w:sz w:val="20"/>
                <w:szCs w:val="20"/>
              </w:rPr>
              <w:t>19 098</w:t>
            </w:r>
          </w:p>
        </w:tc>
        <w:tc>
          <w:tcPr>
            <w:tcW w:w="2977" w:type="dxa"/>
            <w:shd w:val="clear" w:color="auto" w:fill="FFFFFF" w:themeFill="background1"/>
            <w:tcMar>
              <w:top w:w="15" w:type="dxa"/>
              <w:left w:w="108" w:type="dxa"/>
              <w:bottom w:w="0" w:type="dxa"/>
              <w:right w:w="108" w:type="dxa"/>
            </w:tcMar>
            <w:vAlign w:val="center"/>
            <w:hideMark/>
          </w:tcPr>
          <w:p w:rsidR="00592246" w:rsidRPr="00DB7AD0" w:rsidRDefault="00592246" w:rsidP="004E050E">
            <w:pPr>
              <w:spacing w:after="0"/>
              <w:jc w:val="both"/>
              <w:rPr>
                <w:rFonts w:ascii="Open Sans" w:hAnsi="Open Sans" w:cs="Open Sans"/>
                <w:sz w:val="20"/>
                <w:szCs w:val="20"/>
              </w:rPr>
            </w:pPr>
            <w:r w:rsidRPr="00DB7AD0">
              <w:rPr>
                <w:rFonts w:ascii="Open Sans" w:hAnsi="Open Sans" w:cs="Open Sans"/>
                <w:sz w:val="20"/>
                <w:szCs w:val="20"/>
              </w:rPr>
              <w:t>596.25</w:t>
            </w:r>
          </w:p>
        </w:tc>
      </w:tr>
    </w:tbl>
    <w:p w:rsidR="00B36D8B" w:rsidRDefault="00B36D8B" w:rsidP="00B36D8B">
      <w:pPr>
        <w:pStyle w:val="ListParagraph"/>
        <w:jc w:val="both"/>
        <w:rPr>
          <w:rFonts w:ascii="Open Sans" w:hAnsi="Open Sans" w:cs="Open Sans"/>
          <w:sz w:val="20"/>
          <w:szCs w:val="20"/>
          <w:lang w:val="en-GB"/>
        </w:rPr>
      </w:pPr>
    </w:p>
    <w:p w:rsidR="00630BB1" w:rsidRDefault="00630BB1" w:rsidP="00B36D8B">
      <w:pPr>
        <w:pStyle w:val="ListParagraph"/>
        <w:jc w:val="both"/>
        <w:rPr>
          <w:rFonts w:ascii="Open Sans" w:hAnsi="Open Sans" w:cs="Open Sans"/>
          <w:sz w:val="20"/>
          <w:szCs w:val="20"/>
          <w:lang w:val="en-GB"/>
        </w:rPr>
      </w:pPr>
    </w:p>
    <w:p w:rsidR="001A3FC6" w:rsidRDefault="001A3FC6" w:rsidP="00B36D8B">
      <w:pPr>
        <w:pStyle w:val="ListParagraph"/>
        <w:jc w:val="both"/>
        <w:rPr>
          <w:rFonts w:ascii="Open Sans" w:hAnsi="Open Sans" w:cs="Open Sans"/>
          <w:sz w:val="20"/>
          <w:szCs w:val="20"/>
          <w:lang w:val="en-GB"/>
        </w:rPr>
      </w:pPr>
    </w:p>
    <w:p w:rsidR="001A3FC6" w:rsidRDefault="001A3FC6" w:rsidP="00B36D8B">
      <w:pPr>
        <w:pStyle w:val="ListParagraph"/>
        <w:jc w:val="both"/>
        <w:rPr>
          <w:rFonts w:ascii="Open Sans" w:hAnsi="Open Sans" w:cs="Open Sans"/>
          <w:sz w:val="20"/>
          <w:szCs w:val="20"/>
          <w:lang w:val="en-GB"/>
        </w:rPr>
      </w:pPr>
    </w:p>
    <w:p w:rsidR="001A3FC6" w:rsidRDefault="001A3FC6" w:rsidP="00B36D8B">
      <w:pPr>
        <w:pStyle w:val="ListParagraph"/>
        <w:jc w:val="both"/>
        <w:rPr>
          <w:rFonts w:ascii="Open Sans" w:hAnsi="Open Sans" w:cs="Open Sans"/>
          <w:sz w:val="20"/>
          <w:szCs w:val="20"/>
          <w:lang w:val="en-GB"/>
        </w:rPr>
      </w:pPr>
    </w:p>
    <w:p w:rsidR="00630BB1" w:rsidRDefault="00630BB1" w:rsidP="00B36D8B">
      <w:pPr>
        <w:pStyle w:val="ListParagraph"/>
        <w:jc w:val="both"/>
        <w:rPr>
          <w:rFonts w:ascii="Open Sans" w:hAnsi="Open Sans" w:cs="Open Sans"/>
          <w:sz w:val="20"/>
          <w:szCs w:val="20"/>
          <w:lang w:val="en-GB"/>
        </w:rPr>
      </w:pPr>
    </w:p>
    <w:p w:rsidR="00630BB1" w:rsidRDefault="00630BB1" w:rsidP="00B36D8B">
      <w:pPr>
        <w:pStyle w:val="ListParagraph"/>
        <w:jc w:val="both"/>
        <w:rPr>
          <w:rFonts w:ascii="Open Sans" w:hAnsi="Open Sans" w:cs="Open Sans"/>
          <w:sz w:val="20"/>
          <w:szCs w:val="20"/>
          <w:lang w:val="en-GB"/>
        </w:rPr>
      </w:pPr>
    </w:p>
    <w:p w:rsidR="00630BB1" w:rsidRDefault="00630BB1" w:rsidP="00B36D8B">
      <w:pPr>
        <w:pStyle w:val="ListParagraph"/>
        <w:jc w:val="both"/>
        <w:rPr>
          <w:rFonts w:ascii="Open Sans" w:hAnsi="Open Sans" w:cs="Open Sans"/>
          <w:sz w:val="20"/>
          <w:szCs w:val="20"/>
          <w:lang w:val="en-GB"/>
        </w:rPr>
      </w:pPr>
    </w:p>
    <w:p w:rsidR="00592246" w:rsidRPr="00DB7AD0" w:rsidRDefault="00592246" w:rsidP="00630BB1">
      <w:pPr>
        <w:pStyle w:val="ListParagraph"/>
        <w:numPr>
          <w:ilvl w:val="0"/>
          <w:numId w:val="6"/>
        </w:numPr>
        <w:jc w:val="both"/>
        <w:rPr>
          <w:rFonts w:ascii="Open Sans" w:hAnsi="Open Sans" w:cs="Open Sans"/>
          <w:sz w:val="20"/>
          <w:szCs w:val="20"/>
          <w:lang w:val="en-GB"/>
        </w:rPr>
      </w:pPr>
      <w:r w:rsidRPr="00DB7AD0">
        <w:rPr>
          <w:rFonts w:ascii="Open Sans" w:hAnsi="Open Sans" w:cs="Open Sans"/>
          <w:sz w:val="20"/>
          <w:szCs w:val="20"/>
          <w:lang w:val="en-GB"/>
        </w:rPr>
        <w:lastRenderedPageBreak/>
        <w:t>Where the area of influence covered by the event was forecast to affect one or more basins, the results, relative to the size of the island and the mean area affected by the events simulated, were as follows:</w:t>
      </w:r>
    </w:p>
    <w:p w:rsidR="00C5445E" w:rsidRPr="00592246" w:rsidRDefault="00DE38D4" w:rsidP="0018369F">
      <w:pPr>
        <w:pStyle w:val="ListParagraph"/>
        <w:rPr>
          <w:rFonts w:ascii="Open Sans" w:hAnsi="Open Sans" w:cs="Open Sans"/>
          <w:sz w:val="20"/>
          <w:szCs w:val="20"/>
          <w:lang w:val="en-US"/>
        </w:rPr>
      </w:pPr>
      <w:r w:rsidRPr="00592246">
        <w:rPr>
          <w:rFonts w:ascii="Open Sans" w:hAnsi="Open Sans" w:cs="Open Sans"/>
          <w:sz w:val="20"/>
          <w:szCs w:val="20"/>
          <w:lang w:val="en-US"/>
        </w:rPr>
        <w:t xml:space="preserve">   </w:t>
      </w:r>
    </w:p>
    <w:tbl>
      <w:tblPr>
        <w:tblW w:w="8723" w:type="dxa"/>
        <w:tblInd w:w="-108" w:type="dxa"/>
        <w:tblCellMar>
          <w:left w:w="0" w:type="dxa"/>
          <w:right w:w="0" w:type="dxa"/>
        </w:tblCellMar>
        <w:tblLook w:val="04A0" w:firstRow="1" w:lastRow="0" w:firstColumn="1" w:lastColumn="0" w:noHBand="0" w:noVBand="1"/>
      </w:tblPr>
      <w:tblGrid>
        <w:gridCol w:w="19"/>
        <w:gridCol w:w="840"/>
        <w:gridCol w:w="916"/>
        <w:gridCol w:w="1050"/>
        <w:gridCol w:w="916"/>
        <w:gridCol w:w="1050"/>
        <w:gridCol w:w="916"/>
        <w:gridCol w:w="1050"/>
        <w:gridCol w:w="916"/>
        <w:gridCol w:w="1050"/>
      </w:tblGrid>
      <w:tr w:rsidR="00E564F2" w:rsidRPr="00D80BC4" w:rsidTr="00E564F2">
        <w:trPr>
          <w:cantSplit/>
        </w:trPr>
        <w:tc>
          <w:tcPr>
            <w:tcW w:w="20" w:type="dxa"/>
            <w:shd w:val="clear" w:color="auto" w:fill="A70B2C"/>
          </w:tcPr>
          <w:p w:rsidR="00CC783F" w:rsidRPr="00592246" w:rsidRDefault="00CC783F" w:rsidP="002B75C6">
            <w:pPr>
              <w:keepNext/>
              <w:keepLines/>
              <w:spacing w:after="0" w:line="240" w:lineRule="auto"/>
              <w:jc w:val="center"/>
              <w:rPr>
                <w:b/>
                <w:color w:val="FFFFFF" w:themeColor="background1"/>
                <w:lang w:val="en-US"/>
              </w:rPr>
            </w:pPr>
          </w:p>
        </w:tc>
        <w:tc>
          <w:tcPr>
            <w:tcW w:w="0" w:type="auto"/>
            <w:shd w:val="clear" w:color="auto" w:fill="A70B2C"/>
            <w:tcMar>
              <w:top w:w="15" w:type="dxa"/>
              <w:left w:w="108" w:type="dxa"/>
              <w:bottom w:w="0" w:type="dxa"/>
              <w:right w:w="108" w:type="dxa"/>
            </w:tcMar>
            <w:vAlign w:val="center"/>
            <w:hideMark/>
          </w:tcPr>
          <w:p w:rsidR="00CC783F" w:rsidRPr="00592246" w:rsidRDefault="00CC783F" w:rsidP="002B75C6">
            <w:pPr>
              <w:keepNext/>
              <w:keepLines/>
              <w:spacing w:after="0" w:line="240" w:lineRule="auto"/>
              <w:jc w:val="center"/>
              <w:rPr>
                <w:b/>
                <w:color w:val="FFFFFF" w:themeColor="background1"/>
                <w:lang w:val="en-US"/>
              </w:rPr>
            </w:pPr>
            <w:r w:rsidRPr="00592246">
              <w:rPr>
                <w:b/>
                <w:color w:val="FFFFFF" w:themeColor="background1"/>
                <w:lang w:val="en-US"/>
              </w:rPr>
              <w:br/>
            </w:r>
          </w:p>
        </w:tc>
        <w:tc>
          <w:tcPr>
            <w:tcW w:w="0" w:type="auto"/>
            <w:gridSpan w:val="2"/>
            <w:tcBorders>
              <w:right w:val="single" w:sz="4" w:space="0" w:color="D99594" w:themeColor="accent2" w:themeTint="99"/>
            </w:tcBorders>
            <w:shd w:val="clear" w:color="auto" w:fill="A70B2C"/>
            <w:tcMar>
              <w:top w:w="15" w:type="dxa"/>
              <w:left w:w="108" w:type="dxa"/>
              <w:bottom w:w="0" w:type="dxa"/>
              <w:right w:w="108" w:type="dxa"/>
            </w:tcMar>
            <w:vAlign w:val="center"/>
            <w:hideMark/>
          </w:tcPr>
          <w:p w:rsidR="00CC783F" w:rsidRPr="00D80BC4" w:rsidRDefault="00CC783F" w:rsidP="002B75C6">
            <w:pPr>
              <w:keepNext/>
              <w:keepLines/>
              <w:spacing w:after="0" w:line="240" w:lineRule="auto"/>
              <w:jc w:val="center"/>
              <w:rPr>
                <w:b/>
                <w:color w:val="FFFFFF" w:themeColor="background1"/>
              </w:rPr>
            </w:pPr>
            <w:r w:rsidRPr="00D80BC4">
              <w:rPr>
                <w:b/>
                <w:color w:val="FFFFFF" w:themeColor="background1"/>
              </w:rPr>
              <w:t>10km de radio(</w:t>
            </w:r>
            <w:r w:rsidRPr="00D80BC4">
              <w:rPr>
                <w:b/>
                <w:color w:val="FFFFFF" w:themeColor="background1"/>
                <w:vertAlign w:val="superscript"/>
              </w:rPr>
              <w:t>1</w:t>
            </w:r>
            <w:r w:rsidRPr="00D80BC4">
              <w:rPr>
                <w:b/>
                <w:color w:val="FFFFFF" w:themeColor="background1"/>
              </w:rPr>
              <w:t>)</w:t>
            </w:r>
          </w:p>
        </w:tc>
        <w:tc>
          <w:tcPr>
            <w:tcW w:w="0" w:type="auto"/>
            <w:gridSpan w:val="2"/>
            <w:tcBorders>
              <w:left w:val="single" w:sz="4" w:space="0" w:color="D99594" w:themeColor="accent2" w:themeTint="99"/>
              <w:right w:val="single" w:sz="4" w:space="0" w:color="D99594" w:themeColor="accent2" w:themeTint="99"/>
            </w:tcBorders>
            <w:shd w:val="clear" w:color="auto" w:fill="A70B2C"/>
            <w:tcMar>
              <w:top w:w="15" w:type="dxa"/>
              <w:left w:w="108" w:type="dxa"/>
              <w:bottom w:w="0" w:type="dxa"/>
              <w:right w:w="108" w:type="dxa"/>
            </w:tcMar>
            <w:vAlign w:val="center"/>
            <w:hideMark/>
          </w:tcPr>
          <w:p w:rsidR="00CC783F" w:rsidRPr="00D80BC4" w:rsidRDefault="00592246" w:rsidP="002B75C6">
            <w:pPr>
              <w:keepNext/>
              <w:keepLines/>
              <w:spacing w:after="0" w:line="240" w:lineRule="auto"/>
              <w:jc w:val="center"/>
              <w:rPr>
                <w:b/>
                <w:color w:val="FFFFFF" w:themeColor="background1"/>
              </w:rPr>
            </w:pPr>
            <w:r>
              <w:rPr>
                <w:b/>
                <w:color w:val="FFFFFF" w:themeColor="background1"/>
              </w:rPr>
              <w:t xml:space="preserve">7% de </w:t>
            </w:r>
            <w:proofErr w:type="spellStart"/>
            <w:r>
              <w:rPr>
                <w:b/>
                <w:color w:val="FFFFFF" w:themeColor="background1"/>
              </w:rPr>
              <w:t>a</w:t>
            </w:r>
            <w:r w:rsidR="00CC783F" w:rsidRPr="00D80BC4">
              <w:rPr>
                <w:b/>
                <w:color w:val="FFFFFF" w:themeColor="background1"/>
              </w:rPr>
              <w:t>rea</w:t>
            </w:r>
            <w:proofErr w:type="spellEnd"/>
            <w:r w:rsidR="00CC783F" w:rsidRPr="00D80BC4">
              <w:rPr>
                <w:b/>
                <w:color w:val="FFFFFF" w:themeColor="background1"/>
              </w:rPr>
              <w:t>(</w:t>
            </w:r>
            <w:r w:rsidR="00CC783F" w:rsidRPr="00D80BC4">
              <w:rPr>
                <w:b/>
                <w:color w:val="FFFFFF" w:themeColor="background1"/>
                <w:vertAlign w:val="superscript"/>
              </w:rPr>
              <w:t>2</w:t>
            </w:r>
            <w:r w:rsidR="00CC783F" w:rsidRPr="00D80BC4">
              <w:rPr>
                <w:b/>
                <w:color w:val="FFFFFF" w:themeColor="background1"/>
              </w:rPr>
              <w:t>)</w:t>
            </w:r>
          </w:p>
        </w:tc>
        <w:tc>
          <w:tcPr>
            <w:tcW w:w="0" w:type="auto"/>
            <w:gridSpan w:val="2"/>
            <w:tcBorders>
              <w:left w:val="single" w:sz="4" w:space="0" w:color="D99594" w:themeColor="accent2" w:themeTint="99"/>
              <w:right w:val="single" w:sz="4" w:space="0" w:color="D99594" w:themeColor="accent2" w:themeTint="99"/>
            </w:tcBorders>
            <w:shd w:val="clear" w:color="auto" w:fill="A70B2C"/>
            <w:tcMar>
              <w:top w:w="15" w:type="dxa"/>
              <w:left w:w="108" w:type="dxa"/>
              <w:bottom w:w="0" w:type="dxa"/>
              <w:right w:w="108" w:type="dxa"/>
            </w:tcMar>
            <w:vAlign w:val="center"/>
            <w:hideMark/>
          </w:tcPr>
          <w:p w:rsidR="00CC783F" w:rsidRPr="00D80BC4" w:rsidRDefault="00592246" w:rsidP="002B75C6">
            <w:pPr>
              <w:keepNext/>
              <w:keepLines/>
              <w:spacing w:after="0" w:line="240" w:lineRule="auto"/>
              <w:jc w:val="center"/>
              <w:rPr>
                <w:b/>
                <w:color w:val="FFFFFF" w:themeColor="background1"/>
              </w:rPr>
            </w:pPr>
            <w:r>
              <w:rPr>
                <w:b/>
                <w:color w:val="FFFFFF" w:themeColor="background1"/>
              </w:rPr>
              <w:t xml:space="preserve">10% de </w:t>
            </w:r>
            <w:proofErr w:type="spellStart"/>
            <w:r>
              <w:rPr>
                <w:b/>
                <w:color w:val="FFFFFF" w:themeColor="background1"/>
              </w:rPr>
              <w:t>a</w:t>
            </w:r>
            <w:r w:rsidR="00CC783F" w:rsidRPr="00D80BC4">
              <w:rPr>
                <w:b/>
                <w:color w:val="FFFFFF" w:themeColor="background1"/>
              </w:rPr>
              <w:t>rea</w:t>
            </w:r>
            <w:proofErr w:type="spellEnd"/>
            <w:r w:rsidR="00CC783F" w:rsidRPr="00D80BC4">
              <w:rPr>
                <w:b/>
                <w:color w:val="FFFFFF" w:themeColor="background1"/>
              </w:rPr>
              <w:t>(</w:t>
            </w:r>
            <w:r w:rsidR="00CC783F" w:rsidRPr="00D80BC4">
              <w:rPr>
                <w:b/>
                <w:color w:val="FFFFFF" w:themeColor="background1"/>
                <w:vertAlign w:val="superscript"/>
              </w:rPr>
              <w:t>2</w:t>
            </w:r>
            <w:r w:rsidR="00CC783F" w:rsidRPr="00D80BC4">
              <w:rPr>
                <w:b/>
                <w:color w:val="FFFFFF" w:themeColor="background1"/>
              </w:rPr>
              <w:t>)</w:t>
            </w:r>
          </w:p>
        </w:tc>
        <w:tc>
          <w:tcPr>
            <w:tcW w:w="0" w:type="auto"/>
            <w:gridSpan w:val="2"/>
            <w:tcBorders>
              <w:left w:val="single" w:sz="4" w:space="0" w:color="D99594" w:themeColor="accent2" w:themeTint="99"/>
            </w:tcBorders>
            <w:shd w:val="clear" w:color="auto" w:fill="A70B2C"/>
            <w:tcMar>
              <w:top w:w="15" w:type="dxa"/>
              <w:left w:w="108" w:type="dxa"/>
              <w:bottom w:w="0" w:type="dxa"/>
              <w:right w:w="108" w:type="dxa"/>
            </w:tcMar>
            <w:vAlign w:val="center"/>
            <w:hideMark/>
          </w:tcPr>
          <w:p w:rsidR="00CC783F" w:rsidRPr="00D80BC4" w:rsidRDefault="00592246" w:rsidP="002B75C6">
            <w:pPr>
              <w:keepNext/>
              <w:keepLines/>
              <w:spacing w:after="0" w:line="240" w:lineRule="auto"/>
              <w:jc w:val="center"/>
              <w:rPr>
                <w:b/>
                <w:color w:val="FFFFFF" w:themeColor="background1"/>
              </w:rPr>
            </w:pPr>
            <w:r>
              <w:rPr>
                <w:b/>
                <w:color w:val="FFFFFF" w:themeColor="background1"/>
              </w:rPr>
              <w:t xml:space="preserve">20% de </w:t>
            </w:r>
            <w:proofErr w:type="spellStart"/>
            <w:r>
              <w:rPr>
                <w:b/>
                <w:color w:val="FFFFFF" w:themeColor="background1"/>
              </w:rPr>
              <w:t>a</w:t>
            </w:r>
            <w:r w:rsidR="00CC783F" w:rsidRPr="00D80BC4">
              <w:rPr>
                <w:b/>
                <w:color w:val="FFFFFF" w:themeColor="background1"/>
              </w:rPr>
              <w:t>rea</w:t>
            </w:r>
            <w:proofErr w:type="spellEnd"/>
            <w:r w:rsidR="00CC783F" w:rsidRPr="00D80BC4">
              <w:rPr>
                <w:b/>
                <w:color w:val="FFFFFF" w:themeColor="background1"/>
              </w:rPr>
              <w:t>(</w:t>
            </w:r>
            <w:r w:rsidR="00CC783F" w:rsidRPr="00D80BC4">
              <w:rPr>
                <w:b/>
                <w:color w:val="FFFFFF" w:themeColor="background1"/>
                <w:vertAlign w:val="superscript"/>
              </w:rPr>
              <w:t>2</w:t>
            </w:r>
            <w:r w:rsidR="00CC783F" w:rsidRPr="00D80BC4">
              <w:rPr>
                <w:b/>
                <w:color w:val="FFFFFF" w:themeColor="background1"/>
              </w:rPr>
              <w:t>)</w:t>
            </w:r>
          </w:p>
        </w:tc>
      </w:tr>
      <w:tr w:rsidR="00884325" w:rsidRPr="002B75C6" w:rsidTr="00E564F2">
        <w:trPr>
          <w:cantSplit/>
        </w:trPr>
        <w:tc>
          <w:tcPr>
            <w:tcW w:w="20" w:type="dxa"/>
          </w:tcPr>
          <w:p w:rsidR="00CC783F" w:rsidRPr="002B75C6" w:rsidRDefault="00CC783F" w:rsidP="004E050E">
            <w:pPr>
              <w:keepNext/>
              <w:keepLines/>
              <w:spacing w:after="0" w:line="240" w:lineRule="auto"/>
              <w:jc w:val="both"/>
              <w:rPr>
                <w:b/>
              </w:rPr>
            </w:pPr>
            <w:r w:rsidRPr="002B75C6">
              <w:rPr>
                <w:b/>
              </w:rPr>
              <w:br/>
            </w:r>
          </w:p>
        </w:tc>
        <w:tc>
          <w:tcPr>
            <w:tcW w:w="0" w:type="auto"/>
            <w:tcBorders>
              <w:right w:val="single" w:sz="4" w:space="0" w:color="BFBFBF" w:themeColor="background1" w:themeShade="BF"/>
            </w:tcBorders>
            <w:shd w:val="clear" w:color="auto" w:fill="auto"/>
            <w:tcMar>
              <w:top w:w="15" w:type="dxa"/>
              <w:left w:w="108" w:type="dxa"/>
              <w:bottom w:w="0" w:type="dxa"/>
              <w:right w:w="108" w:type="dxa"/>
            </w:tcMar>
            <w:vAlign w:val="center"/>
            <w:hideMark/>
          </w:tcPr>
          <w:p w:rsidR="00CC783F" w:rsidRPr="002B75C6" w:rsidRDefault="00CC783F" w:rsidP="00592246">
            <w:pPr>
              <w:keepNext/>
              <w:keepLines/>
              <w:spacing w:after="0" w:line="240" w:lineRule="auto"/>
              <w:jc w:val="both"/>
              <w:rPr>
                <w:b/>
              </w:rPr>
            </w:pPr>
            <w:r w:rsidRPr="002B75C6">
              <w:rPr>
                <w:b/>
              </w:rPr>
              <w:t>Is</w:t>
            </w:r>
            <w:r w:rsidR="00592246">
              <w:rPr>
                <w:b/>
              </w:rPr>
              <w:t>land</w:t>
            </w:r>
          </w:p>
        </w:tc>
        <w:tc>
          <w:tcPr>
            <w:tcW w:w="0" w:type="auto"/>
            <w:tcBorders>
              <w:left w:val="single" w:sz="4" w:space="0" w:color="BFBFBF" w:themeColor="background1" w:themeShade="BF"/>
            </w:tcBorders>
            <w:shd w:val="clear" w:color="auto" w:fill="auto"/>
            <w:tcMar>
              <w:top w:w="15" w:type="dxa"/>
              <w:left w:w="108" w:type="dxa"/>
              <w:bottom w:w="0" w:type="dxa"/>
              <w:right w:w="108" w:type="dxa"/>
            </w:tcMar>
            <w:vAlign w:val="center"/>
            <w:hideMark/>
          </w:tcPr>
          <w:p w:rsidR="00CC783F" w:rsidRPr="002B75C6" w:rsidRDefault="00CC783F" w:rsidP="002B75C6">
            <w:pPr>
              <w:keepNext/>
              <w:keepLines/>
              <w:spacing w:after="0" w:line="240" w:lineRule="auto"/>
              <w:jc w:val="right"/>
              <w:rPr>
                <w:b/>
              </w:rPr>
            </w:pPr>
            <w:r w:rsidRPr="002B75C6">
              <w:rPr>
                <w:b/>
              </w:rPr>
              <w:t>N.P.</w:t>
            </w:r>
          </w:p>
        </w:tc>
        <w:tc>
          <w:tcPr>
            <w:tcW w:w="0" w:type="auto"/>
            <w:tcBorders>
              <w:right w:val="single" w:sz="4" w:space="0" w:color="BFBFBF" w:themeColor="background1" w:themeShade="BF"/>
            </w:tcBorders>
            <w:shd w:val="clear" w:color="auto" w:fill="auto"/>
            <w:tcMar>
              <w:top w:w="15" w:type="dxa"/>
              <w:left w:w="108" w:type="dxa"/>
              <w:bottom w:w="0" w:type="dxa"/>
              <w:right w:w="108" w:type="dxa"/>
            </w:tcMar>
            <w:vAlign w:val="center"/>
            <w:hideMark/>
          </w:tcPr>
          <w:p w:rsidR="00CC783F" w:rsidRPr="002B75C6" w:rsidRDefault="00CC783F" w:rsidP="002B75C6">
            <w:pPr>
              <w:keepNext/>
              <w:keepLines/>
              <w:spacing w:after="0" w:line="240" w:lineRule="auto"/>
              <w:jc w:val="right"/>
              <w:rPr>
                <w:b/>
              </w:rPr>
            </w:pPr>
            <w:proofErr w:type="spellStart"/>
            <w:r w:rsidRPr="002B75C6">
              <w:rPr>
                <w:b/>
              </w:rPr>
              <w:t>Ri</w:t>
            </w:r>
            <w:proofErr w:type="spellEnd"/>
            <w:r w:rsidRPr="002B75C6">
              <w:rPr>
                <w:b/>
              </w:rPr>
              <w:t xml:space="preserve"> </w:t>
            </w:r>
            <w:r w:rsidR="00884325" w:rsidRPr="00884325">
              <w:rPr>
                <w:rFonts w:ascii="Open Sans" w:hAnsi="Open Sans" w:cs="Open Sans"/>
                <w:b/>
                <w:sz w:val="20"/>
                <w:szCs w:val="20"/>
                <w:lang w:val="en-GB"/>
              </w:rPr>
              <w:t>(mill</w:t>
            </w:r>
            <w:proofErr w:type="gramStart"/>
            <w:r w:rsidR="00884325" w:rsidRPr="00884325">
              <w:rPr>
                <w:rFonts w:ascii="Open Sans" w:hAnsi="Open Sans" w:cs="Open Sans"/>
                <w:b/>
                <w:sz w:val="20"/>
                <w:szCs w:val="20"/>
                <w:lang w:val="en-GB"/>
              </w:rPr>
              <w:t>.€</w:t>
            </w:r>
            <w:proofErr w:type="gramEnd"/>
            <w:r w:rsidR="00884325" w:rsidRPr="00884325">
              <w:rPr>
                <w:rFonts w:ascii="Open Sans" w:hAnsi="Open Sans" w:cs="Open Sans"/>
                <w:b/>
                <w:sz w:val="20"/>
                <w:szCs w:val="20"/>
                <w:lang w:val="en-GB"/>
              </w:rPr>
              <w:t>)</w:t>
            </w:r>
          </w:p>
        </w:tc>
        <w:tc>
          <w:tcPr>
            <w:tcW w:w="0" w:type="auto"/>
            <w:tcBorders>
              <w:left w:val="single" w:sz="4" w:space="0" w:color="BFBFBF" w:themeColor="background1" w:themeShade="BF"/>
            </w:tcBorders>
            <w:shd w:val="clear" w:color="auto" w:fill="auto"/>
            <w:tcMar>
              <w:top w:w="15" w:type="dxa"/>
              <w:left w:w="108" w:type="dxa"/>
              <w:bottom w:w="0" w:type="dxa"/>
              <w:right w:w="108" w:type="dxa"/>
            </w:tcMar>
            <w:vAlign w:val="center"/>
            <w:hideMark/>
          </w:tcPr>
          <w:p w:rsidR="00CC783F" w:rsidRPr="002B75C6" w:rsidRDefault="00CC783F" w:rsidP="002B75C6">
            <w:pPr>
              <w:keepNext/>
              <w:keepLines/>
              <w:spacing w:after="0" w:line="240" w:lineRule="auto"/>
              <w:jc w:val="right"/>
              <w:rPr>
                <w:b/>
              </w:rPr>
            </w:pPr>
            <w:r w:rsidRPr="002B75C6">
              <w:rPr>
                <w:b/>
              </w:rPr>
              <w:t>N.P.</w:t>
            </w:r>
          </w:p>
        </w:tc>
        <w:tc>
          <w:tcPr>
            <w:tcW w:w="0" w:type="auto"/>
            <w:tcBorders>
              <w:right w:val="single" w:sz="4" w:space="0" w:color="BFBFBF" w:themeColor="background1" w:themeShade="BF"/>
            </w:tcBorders>
            <w:shd w:val="clear" w:color="auto" w:fill="auto"/>
            <w:tcMar>
              <w:top w:w="15" w:type="dxa"/>
              <w:left w:w="108" w:type="dxa"/>
              <w:bottom w:w="0" w:type="dxa"/>
              <w:right w:w="108" w:type="dxa"/>
            </w:tcMar>
            <w:vAlign w:val="center"/>
            <w:hideMark/>
          </w:tcPr>
          <w:p w:rsidR="00CC783F" w:rsidRPr="002B75C6" w:rsidRDefault="00CC783F" w:rsidP="002B75C6">
            <w:pPr>
              <w:keepNext/>
              <w:keepLines/>
              <w:spacing w:after="0" w:line="240" w:lineRule="auto"/>
              <w:jc w:val="right"/>
              <w:rPr>
                <w:b/>
              </w:rPr>
            </w:pPr>
            <w:proofErr w:type="spellStart"/>
            <w:r w:rsidRPr="002B75C6">
              <w:rPr>
                <w:b/>
              </w:rPr>
              <w:t>Ri</w:t>
            </w:r>
            <w:proofErr w:type="spellEnd"/>
            <w:r w:rsidRPr="002B75C6">
              <w:rPr>
                <w:b/>
              </w:rPr>
              <w:t xml:space="preserve"> </w:t>
            </w:r>
            <w:r w:rsidR="00884325" w:rsidRPr="00884325">
              <w:rPr>
                <w:rFonts w:ascii="Open Sans" w:hAnsi="Open Sans" w:cs="Open Sans"/>
                <w:b/>
                <w:sz w:val="20"/>
                <w:szCs w:val="20"/>
                <w:lang w:val="en-GB"/>
              </w:rPr>
              <w:t>(mill</w:t>
            </w:r>
            <w:proofErr w:type="gramStart"/>
            <w:r w:rsidR="00884325" w:rsidRPr="00884325">
              <w:rPr>
                <w:rFonts w:ascii="Open Sans" w:hAnsi="Open Sans" w:cs="Open Sans"/>
                <w:b/>
                <w:sz w:val="20"/>
                <w:szCs w:val="20"/>
                <w:lang w:val="en-GB"/>
              </w:rPr>
              <w:t>.€</w:t>
            </w:r>
            <w:proofErr w:type="gramEnd"/>
            <w:r w:rsidR="00884325" w:rsidRPr="00884325">
              <w:rPr>
                <w:rFonts w:ascii="Open Sans" w:hAnsi="Open Sans" w:cs="Open Sans"/>
                <w:b/>
                <w:sz w:val="20"/>
                <w:szCs w:val="20"/>
                <w:lang w:val="en-GB"/>
              </w:rPr>
              <w:t>)</w:t>
            </w:r>
          </w:p>
        </w:tc>
        <w:tc>
          <w:tcPr>
            <w:tcW w:w="0" w:type="auto"/>
            <w:tcBorders>
              <w:left w:val="single" w:sz="4" w:space="0" w:color="BFBFBF" w:themeColor="background1" w:themeShade="BF"/>
            </w:tcBorders>
            <w:shd w:val="clear" w:color="auto" w:fill="auto"/>
            <w:tcMar>
              <w:top w:w="15" w:type="dxa"/>
              <w:left w:w="108" w:type="dxa"/>
              <w:bottom w:w="0" w:type="dxa"/>
              <w:right w:w="108" w:type="dxa"/>
            </w:tcMar>
            <w:vAlign w:val="center"/>
            <w:hideMark/>
          </w:tcPr>
          <w:p w:rsidR="00CC783F" w:rsidRPr="002B75C6" w:rsidRDefault="00CC783F" w:rsidP="002B75C6">
            <w:pPr>
              <w:keepNext/>
              <w:keepLines/>
              <w:spacing w:after="0" w:line="240" w:lineRule="auto"/>
              <w:jc w:val="right"/>
              <w:rPr>
                <w:b/>
              </w:rPr>
            </w:pPr>
            <w:r w:rsidRPr="002B75C6">
              <w:rPr>
                <w:b/>
              </w:rPr>
              <w:t>N.P.</w:t>
            </w:r>
          </w:p>
        </w:tc>
        <w:tc>
          <w:tcPr>
            <w:tcW w:w="0" w:type="auto"/>
            <w:tcBorders>
              <w:right w:val="single" w:sz="4" w:space="0" w:color="BFBFBF" w:themeColor="background1" w:themeShade="BF"/>
            </w:tcBorders>
            <w:shd w:val="clear" w:color="auto" w:fill="auto"/>
            <w:tcMar>
              <w:top w:w="15" w:type="dxa"/>
              <w:left w:w="108" w:type="dxa"/>
              <w:bottom w:w="0" w:type="dxa"/>
              <w:right w:w="108" w:type="dxa"/>
            </w:tcMar>
            <w:vAlign w:val="center"/>
            <w:hideMark/>
          </w:tcPr>
          <w:p w:rsidR="00CC783F" w:rsidRPr="002B75C6" w:rsidRDefault="00CC783F" w:rsidP="002B75C6">
            <w:pPr>
              <w:keepNext/>
              <w:keepLines/>
              <w:spacing w:after="0" w:line="240" w:lineRule="auto"/>
              <w:jc w:val="right"/>
              <w:rPr>
                <w:b/>
              </w:rPr>
            </w:pPr>
            <w:proofErr w:type="spellStart"/>
            <w:r w:rsidRPr="002B75C6">
              <w:rPr>
                <w:b/>
              </w:rPr>
              <w:t>Ri</w:t>
            </w:r>
            <w:proofErr w:type="spellEnd"/>
            <w:r w:rsidRPr="002B75C6">
              <w:rPr>
                <w:b/>
              </w:rPr>
              <w:t xml:space="preserve"> </w:t>
            </w:r>
            <w:r w:rsidR="00884325" w:rsidRPr="00884325">
              <w:rPr>
                <w:rFonts w:ascii="Open Sans" w:hAnsi="Open Sans" w:cs="Open Sans"/>
                <w:b/>
                <w:sz w:val="20"/>
                <w:szCs w:val="20"/>
                <w:lang w:val="en-GB"/>
              </w:rPr>
              <w:t>(mill</w:t>
            </w:r>
            <w:proofErr w:type="gramStart"/>
            <w:r w:rsidR="00884325" w:rsidRPr="00884325">
              <w:rPr>
                <w:rFonts w:ascii="Open Sans" w:hAnsi="Open Sans" w:cs="Open Sans"/>
                <w:b/>
                <w:sz w:val="20"/>
                <w:szCs w:val="20"/>
                <w:lang w:val="en-GB"/>
              </w:rPr>
              <w:t>.€</w:t>
            </w:r>
            <w:proofErr w:type="gramEnd"/>
            <w:r w:rsidR="00884325" w:rsidRPr="00884325">
              <w:rPr>
                <w:rFonts w:ascii="Open Sans" w:hAnsi="Open Sans" w:cs="Open Sans"/>
                <w:b/>
                <w:sz w:val="20"/>
                <w:szCs w:val="20"/>
                <w:lang w:val="en-GB"/>
              </w:rPr>
              <w:t>)</w:t>
            </w:r>
          </w:p>
        </w:tc>
        <w:tc>
          <w:tcPr>
            <w:tcW w:w="0" w:type="auto"/>
            <w:tcBorders>
              <w:left w:val="single" w:sz="4" w:space="0" w:color="BFBFBF" w:themeColor="background1" w:themeShade="BF"/>
            </w:tcBorders>
            <w:shd w:val="clear" w:color="auto" w:fill="auto"/>
            <w:tcMar>
              <w:top w:w="15" w:type="dxa"/>
              <w:left w:w="108" w:type="dxa"/>
              <w:bottom w:w="0" w:type="dxa"/>
              <w:right w:w="108" w:type="dxa"/>
            </w:tcMar>
            <w:vAlign w:val="center"/>
            <w:hideMark/>
          </w:tcPr>
          <w:p w:rsidR="00CC783F" w:rsidRPr="002B75C6" w:rsidRDefault="00CC783F" w:rsidP="002B75C6">
            <w:pPr>
              <w:keepNext/>
              <w:keepLines/>
              <w:spacing w:after="0" w:line="240" w:lineRule="auto"/>
              <w:jc w:val="right"/>
              <w:rPr>
                <w:b/>
              </w:rPr>
            </w:pPr>
            <w:r w:rsidRPr="002B75C6">
              <w:rPr>
                <w:b/>
              </w:rPr>
              <w:t>N.P.</w:t>
            </w:r>
          </w:p>
        </w:tc>
        <w:tc>
          <w:tcPr>
            <w:tcW w:w="0" w:type="auto"/>
            <w:shd w:val="clear" w:color="auto" w:fill="auto"/>
            <w:tcMar>
              <w:top w:w="15" w:type="dxa"/>
              <w:left w:w="108" w:type="dxa"/>
              <w:bottom w:w="0" w:type="dxa"/>
              <w:right w:w="108" w:type="dxa"/>
            </w:tcMar>
            <w:vAlign w:val="center"/>
            <w:hideMark/>
          </w:tcPr>
          <w:p w:rsidR="00CC783F" w:rsidRPr="002B75C6" w:rsidRDefault="00CC783F" w:rsidP="002B75C6">
            <w:pPr>
              <w:keepNext/>
              <w:keepLines/>
              <w:spacing w:after="0" w:line="240" w:lineRule="auto"/>
              <w:jc w:val="right"/>
              <w:rPr>
                <w:b/>
              </w:rPr>
            </w:pPr>
            <w:proofErr w:type="spellStart"/>
            <w:r w:rsidRPr="002B75C6">
              <w:rPr>
                <w:b/>
              </w:rPr>
              <w:t>Ri</w:t>
            </w:r>
            <w:proofErr w:type="spellEnd"/>
            <w:r w:rsidRPr="002B75C6">
              <w:rPr>
                <w:b/>
              </w:rPr>
              <w:t xml:space="preserve"> </w:t>
            </w:r>
            <w:r w:rsidR="00884325" w:rsidRPr="00884325">
              <w:rPr>
                <w:rFonts w:ascii="Open Sans" w:hAnsi="Open Sans" w:cs="Open Sans"/>
                <w:b/>
                <w:sz w:val="20"/>
                <w:szCs w:val="20"/>
                <w:lang w:val="en-GB"/>
              </w:rPr>
              <w:t>(mill</w:t>
            </w:r>
            <w:proofErr w:type="gramStart"/>
            <w:r w:rsidR="00884325" w:rsidRPr="00884325">
              <w:rPr>
                <w:rFonts w:ascii="Open Sans" w:hAnsi="Open Sans" w:cs="Open Sans"/>
                <w:b/>
                <w:sz w:val="20"/>
                <w:szCs w:val="20"/>
                <w:lang w:val="en-GB"/>
              </w:rPr>
              <w:t>.€</w:t>
            </w:r>
            <w:proofErr w:type="gramEnd"/>
            <w:r w:rsidR="00884325" w:rsidRPr="00884325">
              <w:rPr>
                <w:rFonts w:ascii="Open Sans" w:hAnsi="Open Sans" w:cs="Open Sans"/>
                <w:b/>
                <w:sz w:val="20"/>
                <w:szCs w:val="20"/>
                <w:lang w:val="en-GB"/>
              </w:rPr>
              <w:t>)</w:t>
            </w:r>
          </w:p>
        </w:tc>
      </w:tr>
      <w:tr w:rsidR="00884325" w:rsidRPr="00187942" w:rsidTr="00E564F2">
        <w:trPr>
          <w:cantSplit/>
        </w:trPr>
        <w:tc>
          <w:tcPr>
            <w:tcW w:w="20" w:type="dxa"/>
            <w:shd w:val="clear" w:color="auto" w:fill="F2F2F2" w:themeFill="background1" w:themeFillShade="F2"/>
          </w:tcPr>
          <w:p w:rsidR="00CC783F" w:rsidRPr="00187942" w:rsidRDefault="00CC783F" w:rsidP="004E050E">
            <w:pPr>
              <w:keepNext/>
              <w:keepLines/>
              <w:spacing w:after="0" w:line="240" w:lineRule="auto"/>
              <w:jc w:val="both"/>
            </w:pPr>
            <w:r>
              <w:br/>
            </w:r>
          </w:p>
        </w:tc>
        <w:tc>
          <w:tcPr>
            <w:tcW w:w="0" w:type="auto"/>
            <w:tcBorders>
              <w:right w:val="single" w:sz="4" w:space="0" w:color="BFBFBF" w:themeColor="background1" w:themeShade="BF"/>
            </w:tcBorders>
            <w:shd w:val="clear" w:color="auto" w:fill="F2F2F2" w:themeFill="background1" w:themeFillShade="F2"/>
            <w:tcMar>
              <w:top w:w="15" w:type="dxa"/>
              <w:left w:w="108" w:type="dxa"/>
              <w:bottom w:w="0" w:type="dxa"/>
              <w:right w:w="108" w:type="dxa"/>
            </w:tcMar>
            <w:vAlign w:val="center"/>
            <w:hideMark/>
          </w:tcPr>
          <w:p w:rsidR="00CC783F" w:rsidRPr="00187942" w:rsidRDefault="00CC783F" w:rsidP="004E050E">
            <w:pPr>
              <w:keepNext/>
              <w:keepLines/>
              <w:spacing w:after="0" w:line="240" w:lineRule="auto"/>
              <w:jc w:val="both"/>
            </w:pPr>
            <w:r w:rsidRPr="00187942">
              <w:t>EH</w:t>
            </w:r>
          </w:p>
        </w:tc>
        <w:tc>
          <w:tcPr>
            <w:tcW w:w="0" w:type="auto"/>
            <w:tcBorders>
              <w:left w:val="single" w:sz="4" w:space="0" w:color="BFBFBF" w:themeColor="background1" w:themeShade="BF"/>
            </w:tcBorders>
            <w:shd w:val="clear" w:color="auto" w:fill="F2F2F2" w:themeFill="background1" w:themeFillShade="F2"/>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995</w:t>
            </w:r>
          </w:p>
        </w:tc>
        <w:tc>
          <w:tcPr>
            <w:tcW w:w="0" w:type="auto"/>
            <w:tcBorders>
              <w:right w:val="single" w:sz="4" w:space="0" w:color="BFBFBF" w:themeColor="background1" w:themeShade="BF"/>
            </w:tcBorders>
            <w:shd w:val="clear" w:color="auto" w:fill="F2F2F2" w:themeFill="background1" w:themeFillShade="F2"/>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5,09</w:t>
            </w:r>
          </w:p>
        </w:tc>
        <w:tc>
          <w:tcPr>
            <w:tcW w:w="0" w:type="auto"/>
            <w:tcBorders>
              <w:left w:val="single" w:sz="4" w:space="0" w:color="BFBFBF" w:themeColor="background1" w:themeShade="BF"/>
            </w:tcBorders>
            <w:shd w:val="clear" w:color="auto" w:fill="F2F2F2" w:themeFill="background1" w:themeFillShade="F2"/>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240</w:t>
            </w:r>
          </w:p>
        </w:tc>
        <w:tc>
          <w:tcPr>
            <w:tcW w:w="0" w:type="auto"/>
            <w:tcBorders>
              <w:right w:val="single" w:sz="4" w:space="0" w:color="BFBFBF" w:themeColor="background1" w:themeShade="BF"/>
            </w:tcBorders>
            <w:shd w:val="clear" w:color="auto" w:fill="F2F2F2" w:themeFill="background1" w:themeFillShade="F2"/>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2,35</w:t>
            </w:r>
          </w:p>
        </w:tc>
        <w:tc>
          <w:tcPr>
            <w:tcW w:w="0" w:type="auto"/>
            <w:tcBorders>
              <w:left w:val="single" w:sz="4" w:space="0" w:color="BFBFBF" w:themeColor="background1" w:themeShade="BF"/>
            </w:tcBorders>
            <w:shd w:val="clear" w:color="auto" w:fill="F2F2F2" w:themeFill="background1" w:themeFillShade="F2"/>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339</w:t>
            </w:r>
          </w:p>
        </w:tc>
        <w:tc>
          <w:tcPr>
            <w:tcW w:w="0" w:type="auto"/>
            <w:tcBorders>
              <w:right w:val="single" w:sz="4" w:space="0" w:color="BFBFBF" w:themeColor="background1" w:themeShade="BF"/>
            </w:tcBorders>
            <w:shd w:val="clear" w:color="auto" w:fill="F2F2F2" w:themeFill="background1" w:themeFillShade="F2"/>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3,20</w:t>
            </w:r>
          </w:p>
        </w:tc>
        <w:tc>
          <w:tcPr>
            <w:tcW w:w="0" w:type="auto"/>
            <w:tcBorders>
              <w:left w:val="single" w:sz="4" w:space="0" w:color="BFBFBF" w:themeColor="background1" w:themeShade="BF"/>
            </w:tcBorders>
            <w:shd w:val="clear" w:color="auto" w:fill="F2F2F2" w:themeFill="background1" w:themeFillShade="F2"/>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540</w:t>
            </w:r>
          </w:p>
        </w:tc>
        <w:tc>
          <w:tcPr>
            <w:tcW w:w="0" w:type="auto"/>
            <w:shd w:val="clear" w:color="auto" w:fill="F2F2F2" w:themeFill="background1" w:themeFillShade="F2"/>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4,07</w:t>
            </w:r>
          </w:p>
        </w:tc>
      </w:tr>
      <w:tr w:rsidR="00884325" w:rsidRPr="00187942" w:rsidTr="00E564F2">
        <w:trPr>
          <w:cantSplit/>
        </w:trPr>
        <w:tc>
          <w:tcPr>
            <w:tcW w:w="20" w:type="dxa"/>
          </w:tcPr>
          <w:p w:rsidR="00CC783F" w:rsidRPr="00187942" w:rsidRDefault="00CC783F" w:rsidP="004E050E">
            <w:pPr>
              <w:keepNext/>
              <w:keepLines/>
              <w:spacing w:after="0" w:line="240" w:lineRule="auto"/>
              <w:jc w:val="both"/>
            </w:pPr>
            <w:r>
              <w:br/>
            </w:r>
          </w:p>
        </w:tc>
        <w:tc>
          <w:tcPr>
            <w:tcW w:w="0" w:type="auto"/>
            <w:tcBorders>
              <w:right w:val="single" w:sz="4" w:space="0" w:color="BFBFBF" w:themeColor="background1" w:themeShade="BF"/>
            </w:tcBorders>
            <w:shd w:val="clear" w:color="auto" w:fill="auto"/>
            <w:tcMar>
              <w:top w:w="15" w:type="dxa"/>
              <w:left w:w="108" w:type="dxa"/>
              <w:bottom w:w="0" w:type="dxa"/>
              <w:right w:w="108" w:type="dxa"/>
            </w:tcMar>
            <w:vAlign w:val="center"/>
            <w:hideMark/>
          </w:tcPr>
          <w:p w:rsidR="00CC783F" w:rsidRPr="00187942" w:rsidRDefault="00CC783F" w:rsidP="004E050E">
            <w:pPr>
              <w:keepNext/>
              <w:keepLines/>
              <w:spacing w:after="0" w:line="240" w:lineRule="auto"/>
              <w:jc w:val="both"/>
            </w:pPr>
            <w:r w:rsidRPr="00187942">
              <w:t>FV</w:t>
            </w:r>
          </w:p>
        </w:tc>
        <w:tc>
          <w:tcPr>
            <w:tcW w:w="0" w:type="auto"/>
            <w:tcBorders>
              <w:left w:val="single" w:sz="4" w:space="0" w:color="BFBFBF" w:themeColor="background1" w:themeShade="BF"/>
            </w:tcBorders>
            <w:shd w:val="clear" w:color="auto" w:fill="auto"/>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1.049</w:t>
            </w:r>
          </w:p>
        </w:tc>
        <w:tc>
          <w:tcPr>
            <w:tcW w:w="0" w:type="auto"/>
            <w:tcBorders>
              <w:right w:val="single" w:sz="4" w:space="0" w:color="BFBFBF" w:themeColor="background1" w:themeShade="BF"/>
            </w:tcBorders>
            <w:shd w:val="clear" w:color="auto" w:fill="auto"/>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291,48</w:t>
            </w:r>
          </w:p>
        </w:tc>
        <w:tc>
          <w:tcPr>
            <w:tcW w:w="0" w:type="auto"/>
            <w:tcBorders>
              <w:left w:val="single" w:sz="4" w:space="0" w:color="BFBFBF" w:themeColor="background1" w:themeShade="BF"/>
            </w:tcBorders>
            <w:shd w:val="clear" w:color="auto" w:fill="auto"/>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578</w:t>
            </w:r>
          </w:p>
        </w:tc>
        <w:tc>
          <w:tcPr>
            <w:tcW w:w="0" w:type="auto"/>
            <w:tcBorders>
              <w:right w:val="single" w:sz="4" w:space="0" w:color="BFBFBF" w:themeColor="background1" w:themeShade="BF"/>
            </w:tcBorders>
            <w:shd w:val="clear" w:color="auto" w:fill="auto"/>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290,62</w:t>
            </w:r>
          </w:p>
        </w:tc>
        <w:tc>
          <w:tcPr>
            <w:tcW w:w="0" w:type="auto"/>
            <w:tcBorders>
              <w:left w:val="single" w:sz="4" w:space="0" w:color="BFBFBF" w:themeColor="background1" w:themeShade="BF"/>
            </w:tcBorders>
            <w:shd w:val="clear" w:color="auto" w:fill="auto"/>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792</w:t>
            </w:r>
          </w:p>
        </w:tc>
        <w:tc>
          <w:tcPr>
            <w:tcW w:w="0" w:type="auto"/>
            <w:tcBorders>
              <w:right w:val="single" w:sz="4" w:space="0" w:color="BFBFBF" w:themeColor="background1" w:themeShade="BF"/>
            </w:tcBorders>
            <w:shd w:val="clear" w:color="auto" w:fill="auto"/>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291,09</w:t>
            </w:r>
          </w:p>
        </w:tc>
        <w:tc>
          <w:tcPr>
            <w:tcW w:w="0" w:type="auto"/>
            <w:tcBorders>
              <w:left w:val="single" w:sz="4" w:space="0" w:color="BFBFBF" w:themeColor="background1" w:themeShade="BF"/>
            </w:tcBorders>
            <w:shd w:val="clear" w:color="auto" w:fill="auto"/>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901</w:t>
            </w:r>
          </w:p>
        </w:tc>
        <w:tc>
          <w:tcPr>
            <w:tcW w:w="0" w:type="auto"/>
            <w:shd w:val="clear" w:color="auto" w:fill="auto"/>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291,22</w:t>
            </w:r>
          </w:p>
        </w:tc>
      </w:tr>
      <w:tr w:rsidR="00884325" w:rsidRPr="00187942" w:rsidTr="00E564F2">
        <w:trPr>
          <w:cantSplit/>
        </w:trPr>
        <w:tc>
          <w:tcPr>
            <w:tcW w:w="20" w:type="dxa"/>
            <w:shd w:val="clear" w:color="auto" w:fill="F2F2F2" w:themeFill="background1" w:themeFillShade="F2"/>
          </w:tcPr>
          <w:p w:rsidR="00CC783F" w:rsidRPr="00187942" w:rsidRDefault="00CC783F" w:rsidP="004E050E">
            <w:pPr>
              <w:keepNext/>
              <w:keepLines/>
              <w:spacing w:after="0" w:line="240" w:lineRule="auto"/>
              <w:jc w:val="both"/>
            </w:pPr>
            <w:r>
              <w:br/>
            </w:r>
          </w:p>
        </w:tc>
        <w:tc>
          <w:tcPr>
            <w:tcW w:w="0" w:type="auto"/>
            <w:tcBorders>
              <w:right w:val="single" w:sz="4" w:space="0" w:color="BFBFBF" w:themeColor="background1" w:themeShade="BF"/>
            </w:tcBorders>
            <w:shd w:val="clear" w:color="auto" w:fill="F2F2F2" w:themeFill="background1" w:themeFillShade="F2"/>
            <w:tcMar>
              <w:top w:w="15" w:type="dxa"/>
              <w:left w:w="108" w:type="dxa"/>
              <w:bottom w:w="0" w:type="dxa"/>
              <w:right w:w="108" w:type="dxa"/>
            </w:tcMar>
            <w:vAlign w:val="center"/>
            <w:hideMark/>
          </w:tcPr>
          <w:p w:rsidR="00CC783F" w:rsidRPr="00187942" w:rsidRDefault="00CC783F" w:rsidP="004E050E">
            <w:pPr>
              <w:keepNext/>
              <w:keepLines/>
              <w:spacing w:after="0" w:line="240" w:lineRule="auto"/>
              <w:jc w:val="both"/>
            </w:pPr>
            <w:r w:rsidRPr="00187942">
              <w:t>GC</w:t>
            </w:r>
          </w:p>
        </w:tc>
        <w:tc>
          <w:tcPr>
            <w:tcW w:w="0" w:type="auto"/>
            <w:tcBorders>
              <w:left w:val="single" w:sz="4" w:space="0" w:color="BFBFBF" w:themeColor="background1" w:themeShade="BF"/>
            </w:tcBorders>
            <w:shd w:val="clear" w:color="auto" w:fill="F2F2F2" w:themeFill="background1" w:themeFillShade="F2"/>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3.306</w:t>
            </w:r>
          </w:p>
        </w:tc>
        <w:tc>
          <w:tcPr>
            <w:tcW w:w="0" w:type="auto"/>
            <w:tcBorders>
              <w:right w:val="single" w:sz="4" w:space="0" w:color="BFBFBF" w:themeColor="background1" w:themeShade="BF"/>
            </w:tcBorders>
            <w:shd w:val="clear" w:color="auto" w:fill="F2F2F2" w:themeFill="background1" w:themeFillShade="F2"/>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258,19</w:t>
            </w:r>
          </w:p>
        </w:tc>
        <w:tc>
          <w:tcPr>
            <w:tcW w:w="0" w:type="auto"/>
            <w:tcBorders>
              <w:left w:val="single" w:sz="4" w:space="0" w:color="BFBFBF" w:themeColor="background1" w:themeShade="BF"/>
            </w:tcBorders>
            <w:shd w:val="clear" w:color="auto" w:fill="F2F2F2" w:themeFill="background1" w:themeFillShade="F2"/>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636</w:t>
            </w:r>
          </w:p>
        </w:tc>
        <w:tc>
          <w:tcPr>
            <w:tcW w:w="0" w:type="auto"/>
            <w:tcBorders>
              <w:right w:val="single" w:sz="4" w:space="0" w:color="BFBFBF" w:themeColor="background1" w:themeShade="BF"/>
            </w:tcBorders>
            <w:shd w:val="clear" w:color="auto" w:fill="F2F2F2" w:themeFill="background1" w:themeFillShade="F2"/>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235,17</w:t>
            </w:r>
          </w:p>
        </w:tc>
        <w:tc>
          <w:tcPr>
            <w:tcW w:w="0" w:type="auto"/>
            <w:tcBorders>
              <w:left w:val="single" w:sz="4" w:space="0" w:color="BFBFBF" w:themeColor="background1" w:themeShade="BF"/>
            </w:tcBorders>
            <w:shd w:val="clear" w:color="auto" w:fill="F2F2F2" w:themeFill="background1" w:themeFillShade="F2"/>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776</w:t>
            </w:r>
          </w:p>
        </w:tc>
        <w:tc>
          <w:tcPr>
            <w:tcW w:w="0" w:type="auto"/>
            <w:tcBorders>
              <w:right w:val="single" w:sz="4" w:space="0" w:color="BFBFBF" w:themeColor="background1" w:themeShade="BF"/>
            </w:tcBorders>
            <w:shd w:val="clear" w:color="auto" w:fill="F2F2F2" w:themeFill="background1" w:themeFillShade="F2"/>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241,43</w:t>
            </w:r>
          </w:p>
        </w:tc>
        <w:tc>
          <w:tcPr>
            <w:tcW w:w="0" w:type="auto"/>
            <w:tcBorders>
              <w:left w:val="single" w:sz="4" w:space="0" w:color="BFBFBF" w:themeColor="background1" w:themeShade="BF"/>
            </w:tcBorders>
            <w:shd w:val="clear" w:color="auto" w:fill="F2F2F2" w:themeFill="background1" w:themeFillShade="F2"/>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2.129</w:t>
            </w:r>
          </w:p>
        </w:tc>
        <w:tc>
          <w:tcPr>
            <w:tcW w:w="0" w:type="auto"/>
            <w:shd w:val="clear" w:color="auto" w:fill="F2F2F2" w:themeFill="background1" w:themeFillShade="F2"/>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256,32</w:t>
            </w:r>
          </w:p>
        </w:tc>
      </w:tr>
      <w:tr w:rsidR="00884325" w:rsidRPr="00187942" w:rsidTr="00E564F2">
        <w:trPr>
          <w:cantSplit/>
        </w:trPr>
        <w:tc>
          <w:tcPr>
            <w:tcW w:w="20" w:type="dxa"/>
          </w:tcPr>
          <w:p w:rsidR="00CC783F" w:rsidRPr="00187942" w:rsidRDefault="00CC783F" w:rsidP="004E050E">
            <w:pPr>
              <w:keepNext/>
              <w:keepLines/>
              <w:spacing w:after="0" w:line="240" w:lineRule="auto"/>
              <w:jc w:val="both"/>
            </w:pPr>
            <w:r>
              <w:br/>
            </w:r>
          </w:p>
        </w:tc>
        <w:tc>
          <w:tcPr>
            <w:tcW w:w="0" w:type="auto"/>
            <w:tcBorders>
              <w:right w:val="single" w:sz="4" w:space="0" w:color="BFBFBF" w:themeColor="background1" w:themeShade="BF"/>
            </w:tcBorders>
            <w:shd w:val="clear" w:color="auto" w:fill="auto"/>
            <w:tcMar>
              <w:top w:w="15" w:type="dxa"/>
              <w:left w:w="108" w:type="dxa"/>
              <w:bottom w:w="0" w:type="dxa"/>
              <w:right w:w="108" w:type="dxa"/>
            </w:tcMar>
            <w:vAlign w:val="center"/>
            <w:hideMark/>
          </w:tcPr>
          <w:p w:rsidR="00CC783F" w:rsidRPr="00187942" w:rsidRDefault="00CC783F" w:rsidP="004E050E">
            <w:pPr>
              <w:keepNext/>
              <w:keepLines/>
              <w:spacing w:after="0" w:line="240" w:lineRule="auto"/>
              <w:jc w:val="both"/>
            </w:pPr>
            <w:r w:rsidRPr="00187942">
              <w:t>GO</w:t>
            </w:r>
          </w:p>
        </w:tc>
        <w:tc>
          <w:tcPr>
            <w:tcW w:w="0" w:type="auto"/>
            <w:tcBorders>
              <w:left w:val="single" w:sz="4" w:space="0" w:color="BFBFBF" w:themeColor="background1" w:themeShade="BF"/>
            </w:tcBorders>
            <w:shd w:val="clear" w:color="auto" w:fill="auto"/>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1.579</w:t>
            </w:r>
          </w:p>
        </w:tc>
        <w:tc>
          <w:tcPr>
            <w:tcW w:w="0" w:type="auto"/>
            <w:tcBorders>
              <w:right w:val="single" w:sz="4" w:space="0" w:color="BFBFBF" w:themeColor="background1" w:themeShade="BF"/>
            </w:tcBorders>
            <w:shd w:val="clear" w:color="auto" w:fill="auto"/>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28,29</w:t>
            </w:r>
          </w:p>
        </w:tc>
        <w:tc>
          <w:tcPr>
            <w:tcW w:w="0" w:type="auto"/>
            <w:tcBorders>
              <w:left w:val="single" w:sz="4" w:space="0" w:color="BFBFBF" w:themeColor="background1" w:themeShade="BF"/>
            </w:tcBorders>
            <w:shd w:val="clear" w:color="auto" w:fill="auto"/>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539</w:t>
            </w:r>
          </w:p>
        </w:tc>
        <w:tc>
          <w:tcPr>
            <w:tcW w:w="0" w:type="auto"/>
            <w:tcBorders>
              <w:right w:val="single" w:sz="4" w:space="0" w:color="BFBFBF" w:themeColor="background1" w:themeShade="BF"/>
            </w:tcBorders>
            <w:shd w:val="clear" w:color="auto" w:fill="auto"/>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21,03</w:t>
            </w:r>
          </w:p>
        </w:tc>
        <w:tc>
          <w:tcPr>
            <w:tcW w:w="0" w:type="auto"/>
            <w:tcBorders>
              <w:left w:val="single" w:sz="4" w:space="0" w:color="BFBFBF" w:themeColor="background1" w:themeShade="BF"/>
            </w:tcBorders>
            <w:shd w:val="clear" w:color="auto" w:fill="auto"/>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584</w:t>
            </w:r>
          </w:p>
        </w:tc>
        <w:tc>
          <w:tcPr>
            <w:tcW w:w="0" w:type="auto"/>
            <w:tcBorders>
              <w:right w:val="single" w:sz="4" w:space="0" w:color="BFBFBF" w:themeColor="background1" w:themeShade="BF"/>
            </w:tcBorders>
            <w:shd w:val="clear" w:color="auto" w:fill="auto"/>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21,30</w:t>
            </w:r>
          </w:p>
        </w:tc>
        <w:tc>
          <w:tcPr>
            <w:tcW w:w="0" w:type="auto"/>
            <w:tcBorders>
              <w:left w:val="single" w:sz="4" w:space="0" w:color="BFBFBF" w:themeColor="background1" w:themeShade="BF"/>
            </w:tcBorders>
            <w:shd w:val="clear" w:color="auto" w:fill="auto"/>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596</w:t>
            </w:r>
          </w:p>
        </w:tc>
        <w:tc>
          <w:tcPr>
            <w:tcW w:w="0" w:type="auto"/>
            <w:shd w:val="clear" w:color="auto" w:fill="auto"/>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21,32</w:t>
            </w:r>
          </w:p>
        </w:tc>
      </w:tr>
      <w:tr w:rsidR="00884325" w:rsidRPr="00187942" w:rsidTr="00E564F2">
        <w:trPr>
          <w:cantSplit/>
        </w:trPr>
        <w:tc>
          <w:tcPr>
            <w:tcW w:w="20" w:type="dxa"/>
            <w:shd w:val="clear" w:color="auto" w:fill="F2F2F2" w:themeFill="background1" w:themeFillShade="F2"/>
          </w:tcPr>
          <w:p w:rsidR="00CC783F" w:rsidRPr="00187942" w:rsidRDefault="00CC783F" w:rsidP="004E050E">
            <w:pPr>
              <w:keepNext/>
              <w:keepLines/>
              <w:spacing w:after="0" w:line="240" w:lineRule="auto"/>
              <w:jc w:val="both"/>
            </w:pPr>
            <w:r>
              <w:br/>
            </w:r>
          </w:p>
        </w:tc>
        <w:tc>
          <w:tcPr>
            <w:tcW w:w="0" w:type="auto"/>
            <w:tcBorders>
              <w:right w:val="single" w:sz="4" w:space="0" w:color="BFBFBF" w:themeColor="background1" w:themeShade="BF"/>
            </w:tcBorders>
            <w:shd w:val="clear" w:color="auto" w:fill="F2F2F2" w:themeFill="background1" w:themeFillShade="F2"/>
            <w:tcMar>
              <w:top w:w="15" w:type="dxa"/>
              <w:left w:w="108" w:type="dxa"/>
              <w:bottom w:w="0" w:type="dxa"/>
              <w:right w:w="108" w:type="dxa"/>
            </w:tcMar>
            <w:vAlign w:val="center"/>
            <w:hideMark/>
          </w:tcPr>
          <w:p w:rsidR="00CC783F" w:rsidRPr="00187942" w:rsidRDefault="00CC783F" w:rsidP="004E050E">
            <w:pPr>
              <w:keepNext/>
              <w:keepLines/>
              <w:spacing w:after="0" w:line="240" w:lineRule="auto"/>
              <w:jc w:val="both"/>
            </w:pPr>
            <w:r w:rsidRPr="00187942">
              <w:t>LP</w:t>
            </w:r>
          </w:p>
        </w:tc>
        <w:tc>
          <w:tcPr>
            <w:tcW w:w="0" w:type="auto"/>
            <w:tcBorders>
              <w:left w:val="single" w:sz="4" w:space="0" w:color="BFBFBF" w:themeColor="background1" w:themeShade="BF"/>
            </w:tcBorders>
            <w:shd w:val="clear" w:color="auto" w:fill="F2F2F2" w:themeFill="background1" w:themeFillShade="F2"/>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3.730</w:t>
            </w:r>
          </w:p>
        </w:tc>
        <w:tc>
          <w:tcPr>
            <w:tcW w:w="0" w:type="auto"/>
            <w:tcBorders>
              <w:right w:val="single" w:sz="4" w:space="0" w:color="BFBFBF" w:themeColor="background1" w:themeShade="BF"/>
            </w:tcBorders>
            <w:shd w:val="clear" w:color="auto" w:fill="F2F2F2" w:themeFill="background1" w:themeFillShade="F2"/>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73,90</w:t>
            </w:r>
          </w:p>
        </w:tc>
        <w:tc>
          <w:tcPr>
            <w:tcW w:w="0" w:type="auto"/>
            <w:tcBorders>
              <w:left w:val="single" w:sz="4" w:space="0" w:color="BFBFBF" w:themeColor="background1" w:themeShade="BF"/>
            </w:tcBorders>
            <w:shd w:val="clear" w:color="auto" w:fill="F2F2F2" w:themeFill="background1" w:themeFillShade="F2"/>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1.006</w:t>
            </w:r>
          </w:p>
        </w:tc>
        <w:tc>
          <w:tcPr>
            <w:tcW w:w="0" w:type="auto"/>
            <w:tcBorders>
              <w:right w:val="single" w:sz="4" w:space="0" w:color="BFBFBF" w:themeColor="background1" w:themeShade="BF"/>
            </w:tcBorders>
            <w:shd w:val="clear" w:color="auto" w:fill="F2F2F2" w:themeFill="background1" w:themeFillShade="F2"/>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35,86</w:t>
            </w:r>
          </w:p>
        </w:tc>
        <w:tc>
          <w:tcPr>
            <w:tcW w:w="0" w:type="auto"/>
            <w:tcBorders>
              <w:left w:val="single" w:sz="4" w:space="0" w:color="BFBFBF" w:themeColor="background1" w:themeShade="BF"/>
            </w:tcBorders>
            <w:shd w:val="clear" w:color="auto" w:fill="F2F2F2" w:themeFill="background1" w:themeFillShade="F2"/>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1.194</w:t>
            </w:r>
          </w:p>
        </w:tc>
        <w:tc>
          <w:tcPr>
            <w:tcW w:w="0" w:type="auto"/>
            <w:tcBorders>
              <w:right w:val="single" w:sz="4" w:space="0" w:color="BFBFBF" w:themeColor="background1" w:themeShade="BF"/>
            </w:tcBorders>
            <w:shd w:val="clear" w:color="auto" w:fill="F2F2F2" w:themeFill="background1" w:themeFillShade="F2"/>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36,35</w:t>
            </w:r>
          </w:p>
        </w:tc>
        <w:tc>
          <w:tcPr>
            <w:tcW w:w="0" w:type="auto"/>
            <w:tcBorders>
              <w:left w:val="single" w:sz="4" w:space="0" w:color="BFBFBF" w:themeColor="background1" w:themeShade="BF"/>
            </w:tcBorders>
            <w:shd w:val="clear" w:color="auto" w:fill="F2F2F2" w:themeFill="background1" w:themeFillShade="F2"/>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1.566</w:t>
            </w:r>
          </w:p>
        </w:tc>
        <w:tc>
          <w:tcPr>
            <w:tcW w:w="0" w:type="auto"/>
            <w:shd w:val="clear" w:color="auto" w:fill="F2F2F2" w:themeFill="background1" w:themeFillShade="F2"/>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39,98</w:t>
            </w:r>
          </w:p>
        </w:tc>
      </w:tr>
      <w:tr w:rsidR="00884325" w:rsidRPr="00187942" w:rsidTr="00E564F2">
        <w:trPr>
          <w:cantSplit/>
        </w:trPr>
        <w:tc>
          <w:tcPr>
            <w:tcW w:w="20" w:type="dxa"/>
          </w:tcPr>
          <w:p w:rsidR="00CC783F" w:rsidRPr="00187942" w:rsidRDefault="00CC783F" w:rsidP="004E050E">
            <w:pPr>
              <w:keepNext/>
              <w:keepLines/>
              <w:spacing w:after="0" w:line="240" w:lineRule="auto"/>
              <w:jc w:val="both"/>
            </w:pPr>
            <w:r>
              <w:br/>
            </w:r>
          </w:p>
        </w:tc>
        <w:tc>
          <w:tcPr>
            <w:tcW w:w="0" w:type="auto"/>
            <w:tcBorders>
              <w:right w:val="single" w:sz="4" w:space="0" w:color="BFBFBF" w:themeColor="background1" w:themeShade="BF"/>
            </w:tcBorders>
            <w:shd w:val="clear" w:color="auto" w:fill="auto"/>
            <w:tcMar>
              <w:top w:w="15" w:type="dxa"/>
              <w:left w:w="108" w:type="dxa"/>
              <w:bottom w:w="0" w:type="dxa"/>
              <w:right w:w="108" w:type="dxa"/>
            </w:tcMar>
            <w:vAlign w:val="center"/>
            <w:hideMark/>
          </w:tcPr>
          <w:p w:rsidR="00CC783F" w:rsidRPr="00187942" w:rsidRDefault="00CC783F" w:rsidP="004E050E">
            <w:pPr>
              <w:keepNext/>
              <w:keepLines/>
              <w:spacing w:after="0" w:line="240" w:lineRule="auto"/>
              <w:jc w:val="both"/>
            </w:pPr>
            <w:r w:rsidRPr="00187942">
              <w:t>LZ</w:t>
            </w:r>
          </w:p>
        </w:tc>
        <w:tc>
          <w:tcPr>
            <w:tcW w:w="0" w:type="auto"/>
            <w:tcBorders>
              <w:left w:val="single" w:sz="4" w:space="0" w:color="BFBFBF" w:themeColor="background1" w:themeShade="BF"/>
            </w:tcBorders>
            <w:shd w:val="clear" w:color="auto" w:fill="auto"/>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7.181</w:t>
            </w:r>
          </w:p>
        </w:tc>
        <w:tc>
          <w:tcPr>
            <w:tcW w:w="0" w:type="auto"/>
            <w:tcBorders>
              <w:right w:val="single" w:sz="4" w:space="0" w:color="BFBFBF" w:themeColor="background1" w:themeShade="BF"/>
            </w:tcBorders>
            <w:shd w:val="clear" w:color="auto" w:fill="auto"/>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171,66</w:t>
            </w:r>
          </w:p>
        </w:tc>
        <w:tc>
          <w:tcPr>
            <w:tcW w:w="0" w:type="auto"/>
            <w:tcBorders>
              <w:left w:val="single" w:sz="4" w:space="0" w:color="BFBFBF" w:themeColor="background1" w:themeShade="BF"/>
            </w:tcBorders>
            <w:shd w:val="clear" w:color="auto" w:fill="auto"/>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4.081</w:t>
            </w:r>
          </w:p>
        </w:tc>
        <w:tc>
          <w:tcPr>
            <w:tcW w:w="0" w:type="auto"/>
            <w:tcBorders>
              <w:right w:val="single" w:sz="4" w:space="0" w:color="BFBFBF" w:themeColor="background1" w:themeShade="BF"/>
            </w:tcBorders>
            <w:shd w:val="clear" w:color="auto" w:fill="auto"/>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118,25</w:t>
            </w:r>
          </w:p>
        </w:tc>
        <w:tc>
          <w:tcPr>
            <w:tcW w:w="0" w:type="auto"/>
            <w:tcBorders>
              <w:left w:val="single" w:sz="4" w:space="0" w:color="BFBFBF" w:themeColor="background1" w:themeShade="BF"/>
            </w:tcBorders>
            <w:shd w:val="clear" w:color="auto" w:fill="auto"/>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4.336</w:t>
            </w:r>
          </w:p>
        </w:tc>
        <w:tc>
          <w:tcPr>
            <w:tcW w:w="0" w:type="auto"/>
            <w:tcBorders>
              <w:right w:val="single" w:sz="4" w:space="0" w:color="BFBFBF" w:themeColor="background1" w:themeShade="BF"/>
            </w:tcBorders>
            <w:shd w:val="clear" w:color="auto" w:fill="auto"/>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142,51</w:t>
            </w:r>
          </w:p>
        </w:tc>
        <w:tc>
          <w:tcPr>
            <w:tcW w:w="0" w:type="auto"/>
            <w:tcBorders>
              <w:left w:val="single" w:sz="4" w:space="0" w:color="BFBFBF" w:themeColor="background1" w:themeShade="BF"/>
            </w:tcBorders>
            <w:shd w:val="clear" w:color="auto" w:fill="auto"/>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6.209</w:t>
            </w:r>
          </w:p>
        </w:tc>
        <w:tc>
          <w:tcPr>
            <w:tcW w:w="0" w:type="auto"/>
            <w:shd w:val="clear" w:color="auto" w:fill="auto"/>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157,06</w:t>
            </w:r>
          </w:p>
        </w:tc>
      </w:tr>
      <w:tr w:rsidR="00884325" w:rsidRPr="00187942" w:rsidTr="00E564F2">
        <w:trPr>
          <w:cantSplit/>
        </w:trPr>
        <w:tc>
          <w:tcPr>
            <w:tcW w:w="20" w:type="dxa"/>
            <w:shd w:val="clear" w:color="auto" w:fill="F2F2F2" w:themeFill="background1" w:themeFillShade="F2"/>
          </w:tcPr>
          <w:p w:rsidR="00CC783F" w:rsidRPr="00187942" w:rsidRDefault="00CC783F" w:rsidP="004E050E">
            <w:pPr>
              <w:keepNext/>
              <w:keepLines/>
              <w:spacing w:after="0" w:line="240" w:lineRule="auto"/>
              <w:jc w:val="both"/>
            </w:pPr>
            <w:r>
              <w:br/>
            </w:r>
          </w:p>
        </w:tc>
        <w:tc>
          <w:tcPr>
            <w:tcW w:w="0" w:type="auto"/>
            <w:tcBorders>
              <w:right w:val="single" w:sz="4" w:space="0" w:color="BFBFBF" w:themeColor="background1" w:themeShade="BF"/>
            </w:tcBorders>
            <w:shd w:val="clear" w:color="auto" w:fill="F2F2F2" w:themeFill="background1" w:themeFillShade="F2"/>
            <w:tcMar>
              <w:top w:w="15" w:type="dxa"/>
              <w:left w:w="108" w:type="dxa"/>
              <w:bottom w:w="0" w:type="dxa"/>
              <w:right w:w="108" w:type="dxa"/>
            </w:tcMar>
            <w:vAlign w:val="center"/>
            <w:hideMark/>
          </w:tcPr>
          <w:p w:rsidR="00CC783F" w:rsidRPr="00187942" w:rsidRDefault="00CC783F" w:rsidP="004E050E">
            <w:pPr>
              <w:keepNext/>
              <w:keepLines/>
              <w:spacing w:after="0" w:line="240" w:lineRule="auto"/>
              <w:jc w:val="both"/>
            </w:pPr>
            <w:r w:rsidRPr="00187942">
              <w:t>TF</w:t>
            </w:r>
          </w:p>
        </w:tc>
        <w:tc>
          <w:tcPr>
            <w:tcW w:w="0" w:type="auto"/>
            <w:tcBorders>
              <w:left w:val="single" w:sz="4" w:space="0" w:color="BFBFBF" w:themeColor="background1" w:themeShade="BF"/>
            </w:tcBorders>
            <w:shd w:val="clear" w:color="auto" w:fill="F2F2F2" w:themeFill="background1" w:themeFillShade="F2"/>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28.202</w:t>
            </w:r>
          </w:p>
        </w:tc>
        <w:tc>
          <w:tcPr>
            <w:tcW w:w="0" w:type="auto"/>
            <w:tcBorders>
              <w:right w:val="single" w:sz="4" w:space="0" w:color="BFBFBF" w:themeColor="background1" w:themeShade="BF"/>
            </w:tcBorders>
            <w:shd w:val="clear" w:color="auto" w:fill="F2F2F2" w:themeFill="background1" w:themeFillShade="F2"/>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666,09</w:t>
            </w:r>
          </w:p>
        </w:tc>
        <w:tc>
          <w:tcPr>
            <w:tcW w:w="0" w:type="auto"/>
            <w:tcBorders>
              <w:left w:val="single" w:sz="4" w:space="0" w:color="BFBFBF" w:themeColor="background1" w:themeShade="BF"/>
            </w:tcBorders>
            <w:shd w:val="clear" w:color="auto" w:fill="F2F2F2" w:themeFill="background1" w:themeFillShade="F2"/>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23.163</w:t>
            </w:r>
          </w:p>
        </w:tc>
        <w:tc>
          <w:tcPr>
            <w:tcW w:w="0" w:type="auto"/>
            <w:tcBorders>
              <w:right w:val="single" w:sz="4" w:space="0" w:color="BFBFBF" w:themeColor="background1" w:themeShade="BF"/>
            </w:tcBorders>
            <w:shd w:val="clear" w:color="auto" w:fill="F2F2F2" w:themeFill="background1" w:themeFillShade="F2"/>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643,84</w:t>
            </w:r>
          </w:p>
        </w:tc>
        <w:tc>
          <w:tcPr>
            <w:tcW w:w="0" w:type="auto"/>
            <w:tcBorders>
              <w:left w:val="single" w:sz="4" w:space="0" w:color="BFBFBF" w:themeColor="background1" w:themeShade="BF"/>
            </w:tcBorders>
            <w:shd w:val="clear" w:color="auto" w:fill="F2F2F2" w:themeFill="background1" w:themeFillShade="F2"/>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24.798</w:t>
            </w:r>
          </w:p>
        </w:tc>
        <w:tc>
          <w:tcPr>
            <w:tcW w:w="0" w:type="auto"/>
            <w:tcBorders>
              <w:right w:val="single" w:sz="4" w:space="0" w:color="BFBFBF" w:themeColor="background1" w:themeShade="BF"/>
            </w:tcBorders>
            <w:shd w:val="clear" w:color="auto" w:fill="F2F2F2" w:themeFill="background1" w:themeFillShade="F2"/>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685,62</w:t>
            </w:r>
          </w:p>
        </w:tc>
        <w:tc>
          <w:tcPr>
            <w:tcW w:w="0" w:type="auto"/>
            <w:tcBorders>
              <w:left w:val="single" w:sz="4" w:space="0" w:color="BFBFBF" w:themeColor="background1" w:themeShade="BF"/>
            </w:tcBorders>
            <w:shd w:val="clear" w:color="auto" w:fill="F2F2F2" w:themeFill="background1" w:themeFillShade="F2"/>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29.577</w:t>
            </w:r>
          </w:p>
        </w:tc>
        <w:tc>
          <w:tcPr>
            <w:tcW w:w="0" w:type="auto"/>
            <w:shd w:val="clear" w:color="auto" w:fill="F2F2F2" w:themeFill="background1" w:themeFillShade="F2"/>
            <w:tcMar>
              <w:top w:w="15" w:type="dxa"/>
              <w:left w:w="108" w:type="dxa"/>
              <w:bottom w:w="0" w:type="dxa"/>
              <w:right w:w="108" w:type="dxa"/>
            </w:tcMar>
            <w:vAlign w:val="center"/>
            <w:hideMark/>
          </w:tcPr>
          <w:p w:rsidR="00CC783F" w:rsidRPr="00187942" w:rsidRDefault="00CC783F" w:rsidP="002B75C6">
            <w:pPr>
              <w:keepNext/>
              <w:keepLines/>
              <w:spacing w:after="0" w:line="240" w:lineRule="auto"/>
              <w:jc w:val="right"/>
            </w:pPr>
            <w:r w:rsidRPr="00187942">
              <w:t>716,02</w:t>
            </w:r>
          </w:p>
        </w:tc>
      </w:tr>
      <w:tr w:rsidR="00CC783F" w:rsidRPr="00732120" w:rsidTr="006A5CCB">
        <w:trPr>
          <w:cantSplit/>
        </w:trPr>
        <w:tc>
          <w:tcPr>
            <w:tcW w:w="20" w:type="dxa"/>
          </w:tcPr>
          <w:p w:rsidR="00CC783F" w:rsidRPr="002B75C6" w:rsidRDefault="00CC783F" w:rsidP="004E050E">
            <w:pPr>
              <w:keepNext/>
              <w:keepLines/>
              <w:spacing w:after="0" w:line="240" w:lineRule="auto"/>
              <w:jc w:val="both"/>
              <w:rPr>
                <w:rFonts w:ascii="Open Sans" w:hAnsi="Open Sans" w:cs="Open Sans"/>
                <w:i/>
              </w:rPr>
            </w:pPr>
          </w:p>
        </w:tc>
        <w:tc>
          <w:tcPr>
            <w:tcW w:w="0" w:type="auto"/>
            <w:gridSpan w:val="9"/>
            <w:shd w:val="clear" w:color="auto" w:fill="auto"/>
            <w:tcMar>
              <w:top w:w="15" w:type="dxa"/>
              <w:left w:w="108" w:type="dxa"/>
              <w:bottom w:w="0" w:type="dxa"/>
              <w:right w:w="108" w:type="dxa"/>
            </w:tcMar>
            <w:vAlign w:val="center"/>
            <w:hideMark/>
          </w:tcPr>
          <w:p w:rsidR="00CC783F" w:rsidRPr="00E727A6" w:rsidRDefault="00CC783F" w:rsidP="0018369F">
            <w:pPr>
              <w:keepNext/>
              <w:keepLines/>
              <w:spacing w:after="0" w:line="240" w:lineRule="auto"/>
              <w:jc w:val="both"/>
              <w:rPr>
                <w:rFonts w:ascii="Open Sans" w:hAnsi="Open Sans" w:cs="Open Sans"/>
                <w:i/>
                <w:lang w:val="en-US"/>
              </w:rPr>
            </w:pPr>
          </w:p>
          <w:p w:rsidR="00592246" w:rsidRPr="00592246" w:rsidRDefault="00592246" w:rsidP="00592246">
            <w:pPr>
              <w:keepNext/>
              <w:keepLines/>
              <w:spacing w:after="0"/>
              <w:jc w:val="both"/>
              <w:rPr>
                <w:rFonts w:ascii="Open Sans" w:hAnsi="Open Sans" w:cs="Open Sans"/>
                <w:i/>
                <w:sz w:val="20"/>
                <w:szCs w:val="20"/>
                <w:lang w:val="en-GB"/>
              </w:rPr>
            </w:pPr>
            <w:r w:rsidRPr="00592246">
              <w:rPr>
                <w:rFonts w:ascii="Open Sans" w:hAnsi="Open Sans" w:cs="Open Sans"/>
                <w:i/>
                <w:sz w:val="20"/>
                <w:szCs w:val="20"/>
                <w:lang w:val="en-GB"/>
              </w:rPr>
              <w:t>N.P. is the number of cadastral plots affected.</w:t>
            </w:r>
          </w:p>
          <w:p w:rsidR="00592246" w:rsidRPr="00592246" w:rsidRDefault="00592246" w:rsidP="00592246">
            <w:pPr>
              <w:keepNext/>
              <w:keepLines/>
              <w:spacing w:after="0"/>
              <w:jc w:val="both"/>
              <w:rPr>
                <w:rFonts w:ascii="Open Sans" w:hAnsi="Open Sans" w:cs="Open Sans"/>
                <w:i/>
                <w:sz w:val="20"/>
                <w:szCs w:val="20"/>
                <w:lang w:val="en-GB"/>
              </w:rPr>
            </w:pPr>
            <w:r w:rsidRPr="00592246">
              <w:rPr>
                <w:rFonts w:ascii="Open Sans" w:hAnsi="Open Sans" w:cs="Open Sans"/>
                <w:i/>
                <w:sz w:val="20"/>
                <w:szCs w:val="20"/>
                <w:lang w:val="en-GB"/>
              </w:rPr>
              <w:t xml:space="preserve">R is the risk calculated. </w:t>
            </w:r>
          </w:p>
          <w:p w:rsidR="00592246" w:rsidRPr="00592246" w:rsidRDefault="00592246" w:rsidP="00592246">
            <w:pPr>
              <w:keepNext/>
              <w:keepLines/>
              <w:spacing w:after="0"/>
              <w:jc w:val="both"/>
              <w:rPr>
                <w:rFonts w:ascii="Open Sans" w:hAnsi="Open Sans" w:cs="Open Sans"/>
                <w:i/>
                <w:sz w:val="20"/>
                <w:szCs w:val="20"/>
                <w:lang w:val="en-GB"/>
              </w:rPr>
            </w:pPr>
            <w:r w:rsidRPr="00592246">
              <w:rPr>
                <w:rFonts w:ascii="Open Sans" w:hAnsi="Open Sans" w:cs="Open Sans"/>
                <w:i/>
                <w:sz w:val="20"/>
                <w:szCs w:val="20"/>
                <w:lang w:val="en-GB"/>
              </w:rPr>
              <w:t>(1) This value was obtained by selecting the basins intersecting an area of influence with a 10</w:t>
            </w:r>
            <w:r w:rsidRPr="00592246">
              <w:rPr>
                <w:rFonts w:ascii="Open Sans" w:hAnsi="Open Sans" w:cs="Open Sans"/>
                <w:i/>
                <w:sz w:val="20"/>
                <w:szCs w:val="20"/>
                <w:lang w:val="en-GB"/>
              </w:rPr>
              <w:noBreakHyphen/>
              <w:t>km radius from the centroid of the island basin with the highest cumulative risk.</w:t>
            </w:r>
          </w:p>
          <w:p w:rsidR="00CC783F" w:rsidRPr="00592246" w:rsidRDefault="00592246" w:rsidP="00592246">
            <w:pPr>
              <w:keepNext/>
              <w:keepLines/>
              <w:spacing w:after="0" w:line="240" w:lineRule="auto"/>
              <w:jc w:val="both"/>
              <w:rPr>
                <w:rFonts w:ascii="Open Sans" w:hAnsi="Open Sans" w:cs="Open Sans"/>
                <w:i/>
                <w:lang w:val="en-US"/>
              </w:rPr>
            </w:pPr>
            <w:r w:rsidRPr="00592246">
              <w:rPr>
                <w:rFonts w:ascii="Open Sans" w:hAnsi="Open Sans" w:cs="Open Sans"/>
                <w:i/>
                <w:sz w:val="20"/>
                <w:szCs w:val="20"/>
                <w:lang w:val="en-GB"/>
              </w:rPr>
              <w:t>(2) The area, which is approximate, is the sum of the areas of the adjacent basins on the same slope as the basin with the highest cumulative risk.</w:t>
            </w:r>
          </w:p>
        </w:tc>
      </w:tr>
    </w:tbl>
    <w:p w:rsidR="00592246" w:rsidRPr="00E727A6" w:rsidRDefault="00592246" w:rsidP="0018369F">
      <w:pPr>
        <w:jc w:val="both"/>
        <w:rPr>
          <w:rFonts w:ascii="Open Sans" w:hAnsi="Open Sans" w:cs="Open Sans"/>
          <w:i/>
          <w:sz w:val="18"/>
          <w:szCs w:val="18"/>
          <w:lang w:val="en-US"/>
        </w:rPr>
      </w:pPr>
    </w:p>
    <w:p w:rsidR="002B75C6" w:rsidRPr="00732120" w:rsidRDefault="00592246" w:rsidP="00732120">
      <w:pPr>
        <w:pStyle w:val="ListParagraph"/>
        <w:numPr>
          <w:ilvl w:val="0"/>
          <w:numId w:val="11"/>
        </w:numPr>
        <w:ind w:left="284" w:hanging="284"/>
        <w:rPr>
          <w:rFonts w:ascii="Open Sans" w:hAnsi="Open Sans" w:cs="Open Sans"/>
          <w:color w:val="A70B2C"/>
          <w:sz w:val="28"/>
          <w:szCs w:val="28"/>
          <w:lang w:val="en-US"/>
        </w:rPr>
      </w:pPr>
      <w:r w:rsidRPr="00732120">
        <w:rPr>
          <w:rFonts w:ascii="Open Sans" w:hAnsi="Open Sans" w:cs="Open Sans"/>
          <w:color w:val="A70B2C"/>
          <w:sz w:val="28"/>
          <w:szCs w:val="28"/>
          <w:lang w:val="en-US"/>
        </w:rPr>
        <w:t>Seismic risk</w:t>
      </w:r>
    </w:p>
    <w:p w:rsidR="00592246" w:rsidRPr="00DB7AD0" w:rsidRDefault="00592246" w:rsidP="00592246">
      <w:pPr>
        <w:jc w:val="both"/>
        <w:rPr>
          <w:rFonts w:ascii="Open Sans" w:hAnsi="Open Sans" w:cs="Open Sans"/>
          <w:noProof/>
          <w:sz w:val="20"/>
          <w:szCs w:val="20"/>
          <w:lang w:val="en-GB" w:eastAsia="es-ES"/>
        </w:rPr>
      </w:pPr>
      <w:r w:rsidRPr="00DB7AD0">
        <w:rPr>
          <w:rFonts w:ascii="Open Sans" w:hAnsi="Open Sans" w:cs="Open Sans"/>
          <w:sz w:val="20"/>
          <w:szCs w:val="20"/>
          <w:lang w:val="en-GB"/>
        </w:rPr>
        <w:t xml:space="preserve">Only direct effects, i.e., damage to buildings as the result of ground vibration, were taken into consideration when estimating seismic risk. The most vulnerable categories (where damage would be most severe, grades A and B on the EMS98 scale) were found to be less abundant than the least vulnerable (grades C and D). For that reason, most of the potential loss was identified in groups C and D, while the value of the loss in grades A and B was </w:t>
      </w:r>
      <w:proofErr w:type="gramStart"/>
      <w:r w:rsidRPr="00DB7AD0">
        <w:rPr>
          <w:rFonts w:ascii="Open Sans" w:hAnsi="Open Sans" w:cs="Open Sans"/>
          <w:sz w:val="20"/>
          <w:szCs w:val="20"/>
          <w:lang w:val="en-GB"/>
        </w:rPr>
        <w:t>under</w:t>
      </w:r>
      <w:proofErr w:type="gramEnd"/>
      <w:r w:rsidRPr="00DB7AD0">
        <w:rPr>
          <w:rFonts w:ascii="Open Sans" w:hAnsi="Open Sans" w:cs="Open Sans"/>
          <w:sz w:val="20"/>
          <w:szCs w:val="20"/>
          <w:lang w:val="en-GB"/>
        </w:rPr>
        <w:t xml:space="preserve"> 20 %. The geographic distribution of all the losses, i.e., summing the values for the four types of construction studied, is mapped in Figure 8. As the map shows, the variable with the heaviest weight in seismicity studies is population distribution, for the most severe damage was located in the largest towns and cities. Moreover, the islands farthest away from the epicentre defined in the study (sited between Tenerife and Gran </w:t>
      </w:r>
      <w:proofErr w:type="spellStart"/>
      <w:r w:rsidRPr="00DB7AD0">
        <w:rPr>
          <w:rFonts w:ascii="Open Sans" w:hAnsi="Open Sans" w:cs="Open Sans"/>
          <w:sz w:val="20"/>
          <w:szCs w:val="20"/>
          <w:lang w:val="en-GB"/>
        </w:rPr>
        <w:t>Canaria</w:t>
      </w:r>
      <w:proofErr w:type="spellEnd"/>
      <w:r w:rsidRPr="00DB7AD0">
        <w:rPr>
          <w:rFonts w:ascii="Open Sans" w:hAnsi="Open Sans" w:cs="Open Sans"/>
          <w:sz w:val="20"/>
          <w:szCs w:val="20"/>
          <w:lang w:val="en-GB"/>
        </w:rPr>
        <w:t xml:space="preserve"> Islands) happen to be the ones with the smallest populations. The total value of insured loss in the event of an earthquake was calculated to come to 353.37 million euros.</w:t>
      </w:r>
    </w:p>
    <w:p w:rsidR="002B75C6" w:rsidRDefault="002B75C6" w:rsidP="002B75C6">
      <w:pPr>
        <w:rPr>
          <w:rFonts w:ascii="Open Sans" w:hAnsi="Open Sans" w:cs="Open Sans"/>
          <w:sz w:val="20"/>
          <w:szCs w:val="20"/>
        </w:rPr>
      </w:pPr>
      <w:r>
        <w:rPr>
          <w:rFonts w:ascii="Open Sans" w:hAnsi="Open Sans" w:cs="Open Sans"/>
          <w:noProof/>
          <w:sz w:val="20"/>
          <w:szCs w:val="20"/>
          <w:lang w:eastAsia="es-ES"/>
        </w:rPr>
        <w:lastRenderedPageBreak/>
        <w:drawing>
          <wp:inline distT="0" distB="0" distL="0" distR="0">
            <wp:extent cx="5400040" cy="2684780"/>
            <wp:effectExtent l="0" t="0" r="0" b="1270"/>
            <wp:docPr id="2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a_8_GEOMEP.png"/>
                    <pic:cNvPicPr/>
                  </pic:nvPicPr>
                  <pic:blipFill>
                    <a:blip r:embed="rId18">
                      <a:extLst>
                        <a:ext uri="{28A0092B-C50C-407E-A947-70E740481C1C}">
                          <a14:useLocalDpi xmlns:a14="http://schemas.microsoft.com/office/drawing/2010/main" val="0"/>
                        </a:ext>
                      </a:extLst>
                    </a:blip>
                    <a:stretch>
                      <a:fillRect/>
                    </a:stretch>
                  </pic:blipFill>
                  <pic:spPr>
                    <a:xfrm>
                      <a:off x="0" y="0"/>
                      <a:ext cx="5400040" cy="2684780"/>
                    </a:xfrm>
                    <a:prstGeom prst="rect">
                      <a:avLst/>
                    </a:prstGeom>
                  </pic:spPr>
                </pic:pic>
              </a:graphicData>
            </a:graphic>
          </wp:inline>
        </w:drawing>
      </w:r>
    </w:p>
    <w:p w:rsidR="00592246" w:rsidRPr="00592246" w:rsidRDefault="00592246" w:rsidP="00592246">
      <w:pPr>
        <w:jc w:val="both"/>
        <w:rPr>
          <w:rFonts w:ascii="Open Sans" w:hAnsi="Open Sans" w:cs="Open Sans"/>
          <w:i/>
          <w:noProof/>
          <w:sz w:val="20"/>
          <w:szCs w:val="20"/>
          <w:lang w:val="en-GB" w:eastAsia="es-ES"/>
        </w:rPr>
      </w:pPr>
      <w:proofErr w:type="gramStart"/>
      <w:r w:rsidRPr="00592246">
        <w:rPr>
          <w:rFonts w:ascii="Open Sans" w:hAnsi="Open Sans" w:cs="Open Sans"/>
          <w:i/>
          <w:sz w:val="20"/>
          <w:szCs w:val="20"/>
          <w:lang w:val="en-GB" w:eastAsia="es-ES"/>
        </w:rPr>
        <w:t>Figure 8.</w:t>
      </w:r>
      <w:proofErr w:type="gramEnd"/>
      <w:r w:rsidRPr="00592246">
        <w:rPr>
          <w:rFonts w:ascii="Open Sans" w:hAnsi="Open Sans" w:cs="Open Sans"/>
          <w:i/>
          <w:noProof/>
          <w:sz w:val="20"/>
          <w:szCs w:val="20"/>
          <w:lang w:val="en-GB" w:eastAsia="es-ES"/>
        </w:rPr>
        <w:t xml:space="preserve"> </w:t>
      </w:r>
      <w:r w:rsidRPr="00592246">
        <w:rPr>
          <w:rFonts w:ascii="Open Sans" w:hAnsi="Open Sans" w:cs="Open Sans"/>
          <w:i/>
          <w:sz w:val="20"/>
          <w:szCs w:val="20"/>
          <w:lang w:val="en-GB" w:eastAsia="es-ES"/>
        </w:rPr>
        <w:t>Distribution of seismic risk by town/city</w:t>
      </w:r>
      <w:r w:rsidRPr="00592246">
        <w:rPr>
          <w:rFonts w:ascii="Open Sans" w:hAnsi="Open Sans" w:cs="Open Sans"/>
          <w:i/>
          <w:noProof/>
          <w:sz w:val="20"/>
          <w:szCs w:val="20"/>
          <w:lang w:val="en-GB" w:eastAsia="es-ES"/>
        </w:rPr>
        <w:t xml:space="preserve"> </w:t>
      </w:r>
    </w:p>
    <w:p w:rsidR="00D80BC4" w:rsidRDefault="00D80BC4" w:rsidP="00D80BC4">
      <w:pPr>
        <w:jc w:val="center"/>
        <w:rPr>
          <w:rFonts w:ascii="Open Sans" w:hAnsi="Open Sans" w:cs="Open Sans"/>
          <w:i/>
          <w:sz w:val="20"/>
          <w:szCs w:val="20"/>
        </w:rPr>
      </w:pPr>
      <w:r>
        <w:rPr>
          <w:rFonts w:ascii="Open Sans" w:hAnsi="Open Sans" w:cs="Open Sans"/>
          <w:noProof/>
          <w:sz w:val="20"/>
          <w:szCs w:val="20"/>
          <w:lang w:eastAsia="es-ES"/>
        </w:rPr>
        <w:drawing>
          <wp:inline distT="0" distB="0" distL="0" distR="0" wp14:anchorId="38F536E6" wp14:editId="3247EB0D">
            <wp:extent cx="5400040" cy="18415"/>
            <wp:effectExtent l="0" t="0" r="0" b="635"/>
            <wp:docPr id="2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parador.png"/>
                    <pic:cNvPicPr/>
                  </pic:nvPicPr>
                  <pic:blipFill>
                    <a:blip r:embed="rId9">
                      <a:extLst>
                        <a:ext uri="{28A0092B-C50C-407E-A947-70E740481C1C}">
                          <a14:useLocalDpi xmlns:a14="http://schemas.microsoft.com/office/drawing/2010/main" val="0"/>
                        </a:ext>
                      </a:extLst>
                    </a:blip>
                    <a:stretch>
                      <a:fillRect/>
                    </a:stretch>
                  </pic:blipFill>
                  <pic:spPr>
                    <a:xfrm>
                      <a:off x="0" y="0"/>
                      <a:ext cx="5400040" cy="18415"/>
                    </a:xfrm>
                    <a:prstGeom prst="rect">
                      <a:avLst/>
                    </a:prstGeom>
                  </pic:spPr>
                </pic:pic>
              </a:graphicData>
            </a:graphic>
          </wp:inline>
        </w:drawing>
      </w:r>
    </w:p>
    <w:p w:rsidR="00D80BC4" w:rsidRPr="00732120" w:rsidRDefault="00592246" w:rsidP="00732120">
      <w:pPr>
        <w:pStyle w:val="ListParagraph"/>
        <w:numPr>
          <w:ilvl w:val="0"/>
          <w:numId w:val="11"/>
        </w:numPr>
        <w:ind w:left="284" w:hanging="284"/>
        <w:rPr>
          <w:rFonts w:ascii="Open Sans" w:hAnsi="Open Sans" w:cs="Open Sans"/>
          <w:color w:val="A70B2C"/>
          <w:sz w:val="28"/>
          <w:szCs w:val="28"/>
          <w:lang w:val="en-US"/>
        </w:rPr>
      </w:pPr>
      <w:r w:rsidRPr="00732120">
        <w:rPr>
          <w:rFonts w:ascii="Open Sans" w:hAnsi="Open Sans" w:cs="Open Sans"/>
          <w:color w:val="A70B2C"/>
          <w:sz w:val="28"/>
          <w:szCs w:val="28"/>
          <w:lang w:val="en-US"/>
        </w:rPr>
        <w:t>Volcanic risk</w:t>
      </w:r>
    </w:p>
    <w:p w:rsidR="00592246" w:rsidRPr="00DB7AD0" w:rsidRDefault="00592246" w:rsidP="004E050E">
      <w:pPr>
        <w:jc w:val="both"/>
        <w:rPr>
          <w:rFonts w:ascii="Open Sans" w:hAnsi="Open Sans" w:cs="Open Sans"/>
          <w:sz w:val="20"/>
          <w:szCs w:val="20"/>
          <w:lang w:val="en-GB"/>
        </w:rPr>
      </w:pPr>
      <w:r w:rsidRPr="00DB7AD0">
        <w:rPr>
          <w:rFonts w:ascii="Open Sans" w:hAnsi="Open Sans" w:cs="Open Sans"/>
          <w:sz w:val="20"/>
          <w:szCs w:val="20"/>
          <w:lang w:val="en-GB"/>
        </w:rPr>
        <w:t xml:space="preserve">One particularity that sets volcanic hazard off from flood and earthquake hazards is that by changing the volume of lava, one and the same vent can give rise to different scenarios. More than that, if lava viscosity is altered, the same vent with the same volume of lava may also give rise to different scenarios. And to complicate matters further, any given area may be affected by more than one scenario generated by different vents. Moreover, building volcanic scenarios involves such large volumes of data and such high costs that, at this writing, scenarios are only available for the island of Tenerife. The results of the present study were consequently confined to the possible implications of an eruption on that island. Be it nonetheless said that of the seven islands, six are volcanically active (only La </w:t>
      </w:r>
      <w:proofErr w:type="spellStart"/>
      <w:r w:rsidRPr="00DB7AD0">
        <w:rPr>
          <w:rFonts w:ascii="Open Sans" w:hAnsi="Open Sans" w:cs="Open Sans"/>
          <w:sz w:val="20"/>
          <w:szCs w:val="20"/>
          <w:lang w:val="en-GB"/>
        </w:rPr>
        <w:t>Gomera</w:t>
      </w:r>
      <w:proofErr w:type="spellEnd"/>
      <w:r w:rsidRPr="00DB7AD0">
        <w:rPr>
          <w:rFonts w:ascii="Open Sans" w:hAnsi="Open Sans" w:cs="Open Sans"/>
          <w:sz w:val="20"/>
          <w:szCs w:val="20"/>
          <w:lang w:val="en-GB"/>
        </w:rPr>
        <w:t xml:space="preserve"> is regarded as inactive). Furthermore, only the </w:t>
      </w:r>
      <w:proofErr w:type="gramStart"/>
      <w:r w:rsidRPr="00DB7AD0">
        <w:rPr>
          <w:rFonts w:ascii="Open Sans" w:hAnsi="Open Sans" w:cs="Open Sans"/>
          <w:sz w:val="20"/>
          <w:szCs w:val="20"/>
          <w:lang w:val="en-GB"/>
        </w:rPr>
        <w:t>part of the volcanoes above the ocean’s surface were</w:t>
      </w:r>
      <w:proofErr w:type="gramEnd"/>
      <w:r w:rsidRPr="00DB7AD0">
        <w:rPr>
          <w:rFonts w:ascii="Open Sans" w:hAnsi="Open Sans" w:cs="Open Sans"/>
          <w:sz w:val="20"/>
          <w:szCs w:val="20"/>
          <w:lang w:val="en-GB"/>
        </w:rPr>
        <w:t xml:space="preserve"> studied, for no data are available for the submarine portion of the volcanic edifices, which is by far the largest. The volcanic structures that form the Canary Islands </w:t>
      </w:r>
      <w:proofErr w:type="gramStart"/>
      <w:r w:rsidRPr="00DB7AD0">
        <w:rPr>
          <w:rFonts w:ascii="Open Sans" w:hAnsi="Open Sans" w:cs="Open Sans"/>
          <w:sz w:val="20"/>
          <w:szCs w:val="20"/>
          <w:lang w:val="en-GB"/>
        </w:rPr>
        <w:t>rise</w:t>
      </w:r>
      <w:proofErr w:type="gramEnd"/>
      <w:r w:rsidRPr="00DB7AD0">
        <w:rPr>
          <w:rFonts w:ascii="Open Sans" w:hAnsi="Open Sans" w:cs="Open Sans"/>
          <w:sz w:val="20"/>
          <w:szCs w:val="20"/>
          <w:lang w:val="en-GB"/>
        </w:rPr>
        <w:t xml:space="preserve"> from four to nearly eight thousand </w:t>
      </w:r>
      <w:proofErr w:type="spellStart"/>
      <w:r w:rsidRPr="00DB7AD0">
        <w:rPr>
          <w:rFonts w:ascii="Open Sans" w:hAnsi="Open Sans" w:cs="Open Sans"/>
          <w:sz w:val="20"/>
          <w:szCs w:val="20"/>
          <w:lang w:val="en-GB"/>
        </w:rPr>
        <w:t>metresfrom</w:t>
      </w:r>
      <w:proofErr w:type="spellEnd"/>
      <w:r w:rsidRPr="00DB7AD0">
        <w:rPr>
          <w:rFonts w:ascii="Open Sans" w:hAnsi="Open Sans" w:cs="Open Sans"/>
          <w:sz w:val="20"/>
          <w:szCs w:val="20"/>
          <w:lang w:val="en-GB"/>
        </w:rPr>
        <w:t xml:space="preserve"> the ocean floor, although little more than the tip emerges.</w:t>
      </w:r>
    </w:p>
    <w:p w:rsidR="00592246" w:rsidRPr="00DB7AD0" w:rsidRDefault="00592246" w:rsidP="00592246">
      <w:pPr>
        <w:jc w:val="both"/>
        <w:rPr>
          <w:rFonts w:ascii="Open Sans" w:hAnsi="Open Sans" w:cs="Open Sans"/>
          <w:sz w:val="20"/>
          <w:szCs w:val="20"/>
          <w:lang w:val="en-GB"/>
        </w:rPr>
      </w:pPr>
      <w:r w:rsidRPr="00DB7AD0">
        <w:rPr>
          <w:rFonts w:ascii="Open Sans" w:hAnsi="Open Sans" w:cs="Open Sans"/>
          <w:sz w:val="20"/>
          <w:szCs w:val="20"/>
          <w:lang w:val="en-GB"/>
        </w:rPr>
        <w:t>Twelve of the fourteen scenarios selected to assess their possible consequences were found to exhibit significant risk, as shown in the table below.</w:t>
      </w:r>
    </w:p>
    <w:tbl>
      <w:tblPr>
        <w:tblW w:w="0" w:type="auto"/>
        <w:tblInd w:w="-98" w:type="dxa"/>
        <w:tblCellMar>
          <w:left w:w="0" w:type="dxa"/>
          <w:right w:w="0" w:type="dxa"/>
        </w:tblCellMar>
        <w:tblLook w:val="04A0" w:firstRow="1" w:lastRow="0" w:firstColumn="1" w:lastColumn="0" w:noHBand="0" w:noVBand="1"/>
      </w:tblPr>
      <w:tblGrid>
        <w:gridCol w:w="250"/>
        <w:gridCol w:w="1843"/>
        <w:gridCol w:w="2977"/>
        <w:gridCol w:w="3118"/>
      </w:tblGrid>
      <w:tr w:rsidR="00D80BC4" w:rsidRPr="00D80BC4" w:rsidTr="00275979">
        <w:trPr>
          <w:cantSplit/>
        </w:trPr>
        <w:tc>
          <w:tcPr>
            <w:tcW w:w="250" w:type="dxa"/>
            <w:shd w:val="clear" w:color="auto" w:fill="A70B2C"/>
          </w:tcPr>
          <w:p w:rsidR="00D80BC4" w:rsidRPr="00592246" w:rsidRDefault="00D80BC4" w:rsidP="004E050E">
            <w:pPr>
              <w:keepNext/>
              <w:keepLines/>
              <w:spacing w:after="0" w:line="240" w:lineRule="auto"/>
              <w:jc w:val="both"/>
              <w:rPr>
                <w:rFonts w:ascii="Open Sans" w:hAnsi="Open Sans" w:cs="Open Sans"/>
                <w:b/>
                <w:color w:val="FFFFFF" w:themeColor="background1"/>
                <w:sz w:val="20"/>
                <w:szCs w:val="20"/>
                <w:lang w:val="en-US"/>
              </w:rPr>
            </w:pPr>
            <w:r w:rsidRPr="00592246">
              <w:rPr>
                <w:rFonts w:ascii="Open Sans" w:hAnsi="Open Sans" w:cs="Open Sans"/>
                <w:b/>
                <w:color w:val="FFFFFF" w:themeColor="background1"/>
                <w:sz w:val="20"/>
                <w:szCs w:val="20"/>
                <w:lang w:val="en-US"/>
              </w:rPr>
              <w:lastRenderedPageBreak/>
              <w:br/>
            </w:r>
          </w:p>
        </w:tc>
        <w:tc>
          <w:tcPr>
            <w:tcW w:w="1843" w:type="dxa"/>
            <w:shd w:val="clear" w:color="auto" w:fill="A70B2C"/>
            <w:tcMar>
              <w:top w:w="15" w:type="dxa"/>
              <w:left w:w="108" w:type="dxa"/>
              <w:bottom w:w="0" w:type="dxa"/>
              <w:right w:w="108" w:type="dxa"/>
            </w:tcMar>
            <w:vAlign w:val="center"/>
            <w:hideMark/>
          </w:tcPr>
          <w:p w:rsidR="00D80BC4" w:rsidRPr="00D80BC4" w:rsidRDefault="00592246" w:rsidP="004E050E">
            <w:pPr>
              <w:keepNext/>
              <w:keepLines/>
              <w:spacing w:after="0" w:line="240" w:lineRule="auto"/>
              <w:jc w:val="both"/>
              <w:rPr>
                <w:rFonts w:ascii="Open Sans" w:hAnsi="Open Sans" w:cs="Open Sans"/>
                <w:b/>
                <w:color w:val="FFFFFF" w:themeColor="background1"/>
                <w:sz w:val="20"/>
                <w:szCs w:val="20"/>
              </w:rPr>
            </w:pPr>
            <w:proofErr w:type="spellStart"/>
            <w:r>
              <w:rPr>
                <w:rFonts w:ascii="Open Sans" w:hAnsi="Open Sans" w:cs="Open Sans"/>
                <w:b/>
                <w:color w:val="FFFFFF" w:themeColor="background1"/>
                <w:sz w:val="20"/>
                <w:szCs w:val="20"/>
              </w:rPr>
              <w:t>S</w:t>
            </w:r>
            <w:r w:rsidR="00D80BC4" w:rsidRPr="00D80BC4">
              <w:rPr>
                <w:rFonts w:ascii="Open Sans" w:hAnsi="Open Sans" w:cs="Open Sans"/>
                <w:b/>
                <w:color w:val="FFFFFF" w:themeColor="background1"/>
                <w:sz w:val="20"/>
                <w:szCs w:val="20"/>
              </w:rPr>
              <w:t>cenario</w:t>
            </w:r>
            <w:proofErr w:type="spellEnd"/>
          </w:p>
        </w:tc>
        <w:tc>
          <w:tcPr>
            <w:tcW w:w="2977" w:type="dxa"/>
            <w:shd w:val="clear" w:color="auto" w:fill="A70B2C"/>
            <w:tcMar>
              <w:top w:w="15" w:type="dxa"/>
              <w:left w:w="108" w:type="dxa"/>
              <w:bottom w:w="0" w:type="dxa"/>
              <w:right w:w="108" w:type="dxa"/>
            </w:tcMar>
            <w:vAlign w:val="center"/>
            <w:hideMark/>
          </w:tcPr>
          <w:p w:rsidR="00D80BC4" w:rsidRPr="00D80BC4" w:rsidRDefault="00D80BC4" w:rsidP="00592246">
            <w:pPr>
              <w:keepNext/>
              <w:keepLines/>
              <w:spacing w:after="0" w:line="240" w:lineRule="auto"/>
              <w:jc w:val="right"/>
              <w:rPr>
                <w:rFonts w:ascii="Open Sans" w:hAnsi="Open Sans" w:cs="Open Sans"/>
                <w:b/>
                <w:color w:val="FFFFFF" w:themeColor="background1"/>
                <w:sz w:val="20"/>
                <w:szCs w:val="20"/>
              </w:rPr>
            </w:pPr>
            <w:r w:rsidRPr="00D80BC4">
              <w:rPr>
                <w:rFonts w:ascii="Open Sans" w:hAnsi="Open Sans" w:cs="Open Sans"/>
                <w:b/>
                <w:color w:val="FFFFFF" w:themeColor="background1"/>
                <w:sz w:val="20"/>
                <w:szCs w:val="20"/>
              </w:rPr>
              <w:t>N</w:t>
            </w:r>
            <w:r w:rsidR="00592246">
              <w:rPr>
                <w:rFonts w:ascii="Open Sans" w:hAnsi="Open Sans" w:cs="Open Sans"/>
                <w:b/>
                <w:color w:val="FFFFFF" w:themeColor="background1"/>
                <w:sz w:val="20"/>
                <w:szCs w:val="20"/>
              </w:rPr>
              <w:t xml:space="preserve">º </w:t>
            </w:r>
            <w:proofErr w:type="spellStart"/>
            <w:r w:rsidR="00592246">
              <w:rPr>
                <w:rFonts w:ascii="Open Sans" w:hAnsi="Open Sans" w:cs="Open Sans"/>
                <w:b/>
                <w:color w:val="FFFFFF" w:themeColor="background1"/>
                <w:sz w:val="20"/>
                <w:szCs w:val="20"/>
              </w:rPr>
              <w:t>Plots</w:t>
            </w:r>
            <w:proofErr w:type="spellEnd"/>
          </w:p>
        </w:tc>
        <w:tc>
          <w:tcPr>
            <w:tcW w:w="3118" w:type="dxa"/>
            <w:shd w:val="clear" w:color="auto" w:fill="A70B2C"/>
            <w:tcMar>
              <w:top w:w="15" w:type="dxa"/>
              <w:left w:w="108" w:type="dxa"/>
              <w:bottom w:w="0" w:type="dxa"/>
              <w:right w:w="108" w:type="dxa"/>
            </w:tcMar>
            <w:vAlign w:val="center"/>
            <w:hideMark/>
          </w:tcPr>
          <w:p w:rsidR="00D80BC4" w:rsidRPr="00D80BC4" w:rsidRDefault="00592246" w:rsidP="00592246">
            <w:pPr>
              <w:keepNext/>
              <w:keepLines/>
              <w:spacing w:after="0" w:line="240" w:lineRule="auto"/>
              <w:jc w:val="right"/>
              <w:rPr>
                <w:rFonts w:ascii="Open Sans" w:hAnsi="Open Sans" w:cs="Open Sans"/>
                <w:b/>
                <w:color w:val="FFFFFF" w:themeColor="background1"/>
                <w:sz w:val="20"/>
                <w:szCs w:val="20"/>
              </w:rPr>
            </w:pPr>
            <w:proofErr w:type="spellStart"/>
            <w:r>
              <w:rPr>
                <w:rFonts w:ascii="Open Sans" w:hAnsi="Open Sans" w:cs="Open Sans"/>
                <w:b/>
                <w:color w:val="FFFFFF" w:themeColor="background1"/>
                <w:sz w:val="20"/>
                <w:szCs w:val="20"/>
              </w:rPr>
              <w:t>Part</w:t>
            </w:r>
            <w:proofErr w:type="spellEnd"/>
            <w:r>
              <w:rPr>
                <w:rFonts w:ascii="Open Sans" w:hAnsi="Open Sans" w:cs="Open Sans"/>
                <w:b/>
                <w:color w:val="FFFFFF" w:themeColor="background1"/>
                <w:sz w:val="20"/>
                <w:szCs w:val="20"/>
              </w:rPr>
              <w:t xml:space="preserve"> </w:t>
            </w:r>
            <w:proofErr w:type="spellStart"/>
            <w:r>
              <w:rPr>
                <w:rFonts w:ascii="Open Sans" w:hAnsi="Open Sans" w:cs="Open Sans"/>
                <w:b/>
                <w:color w:val="FFFFFF" w:themeColor="background1"/>
                <w:sz w:val="20"/>
                <w:szCs w:val="20"/>
              </w:rPr>
              <w:t>insured</w:t>
            </w:r>
            <w:proofErr w:type="spellEnd"/>
            <w:r w:rsidR="00D80BC4">
              <w:rPr>
                <w:rFonts w:ascii="Open Sans" w:hAnsi="Open Sans" w:cs="Open Sans"/>
                <w:b/>
                <w:color w:val="FFFFFF" w:themeColor="background1"/>
                <w:sz w:val="20"/>
                <w:szCs w:val="20"/>
              </w:rPr>
              <w:t xml:space="preserve"> </w:t>
            </w:r>
            <w:r>
              <w:rPr>
                <w:rFonts w:ascii="Open Sans" w:hAnsi="Open Sans" w:cs="Open Sans"/>
                <w:b/>
                <w:color w:val="FFFFFF" w:themeColor="background1"/>
                <w:sz w:val="20"/>
                <w:szCs w:val="20"/>
              </w:rPr>
              <w:t>(€10</w:t>
            </w:r>
            <w:r w:rsidR="00D80BC4" w:rsidRPr="00D80BC4">
              <w:rPr>
                <w:rFonts w:ascii="Open Sans" w:hAnsi="Open Sans" w:cs="Open Sans"/>
                <w:b/>
                <w:color w:val="FFFFFF" w:themeColor="background1"/>
                <w:sz w:val="20"/>
                <w:szCs w:val="20"/>
              </w:rPr>
              <w:t>)</w:t>
            </w:r>
          </w:p>
        </w:tc>
      </w:tr>
      <w:tr w:rsidR="00D80BC4" w:rsidRPr="00D80BC4" w:rsidTr="005B7798">
        <w:trPr>
          <w:cantSplit/>
        </w:trPr>
        <w:tc>
          <w:tcPr>
            <w:tcW w:w="250" w:type="dxa"/>
          </w:tcPr>
          <w:p w:rsidR="00D80BC4" w:rsidRPr="00D80BC4" w:rsidRDefault="00D80BC4" w:rsidP="004E050E">
            <w:pPr>
              <w:keepNext/>
              <w:keepLines/>
              <w:spacing w:after="0" w:line="240" w:lineRule="auto"/>
              <w:jc w:val="both"/>
              <w:rPr>
                <w:rFonts w:ascii="Open Sans" w:hAnsi="Open Sans" w:cs="Open Sans"/>
                <w:sz w:val="20"/>
                <w:szCs w:val="20"/>
              </w:rPr>
            </w:pPr>
            <w:r>
              <w:rPr>
                <w:rFonts w:ascii="Open Sans" w:hAnsi="Open Sans" w:cs="Open Sans"/>
                <w:sz w:val="20"/>
                <w:szCs w:val="20"/>
              </w:rPr>
              <w:br/>
            </w:r>
          </w:p>
        </w:tc>
        <w:tc>
          <w:tcPr>
            <w:tcW w:w="1843" w:type="dxa"/>
            <w:shd w:val="clear" w:color="auto" w:fill="auto"/>
            <w:tcMar>
              <w:top w:w="15" w:type="dxa"/>
              <w:left w:w="108" w:type="dxa"/>
              <w:bottom w:w="0" w:type="dxa"/>
              <w:right w:w="108" w:type="dxa"/>
            </w:tcMar>
            <w:vAlign w:val="center"/>
            <w:hideMark/>
          </w:tcPr>
          <w:p w:rsidR="00D80BC4" w:rsidRPr="00D80BC4" w:rsidRDefault="00D80BC4" w:rsidP="004E050E">
            <w:pPr>
              <w:keepNext/>
              <w:keepLines/>
              <w:spacing w:after="0" w:line="240" w:lineRule="auto"/>
              <w:jc w:val="both"/>
              <w:rPr>
                <w:rFonts w:ascii="Open Sans" w:hAnsi="Open Sans" w:cs="Open Sans"/>
                <w:sz w:val="20"/>
                <w:szCs w:val="20"/>
              </w:rPr>
            </w:pPr>
            <w:r w:rsidRPr="00D80BC4">
              <w:rPr>
                <w:rFonts w:ascii="Open Sans" w:hAnsi="Open Sans" w:cs="Open Sans"/>
                <w:sz w:val="20"/>
                <w:szCs w:val="20"/>
              </w:rPr>
              <w:t>c526_20</w:t>
            </w:r>
          </w:p>
        </w:tc>
        <w:tc>
          <w:tcPr>
            <w:tcW w:w="2977" w:type="dxa"/>
            <w:shd w:val="clear" w:color="auto" w:fill="auto"/>
            <w:tcMar>
              <w:top w:w="15" w:type="dxa"/>
              <w:left w:w="108" w:type="dxa"/>
              <w:bottom w:w="0" w:type="dxa"/>
              <w:right w:w="108" w:type="dxa"/>
            </w:tcMar>
            <w:vAlign w:val="center"/>
            <w:hideMark/>
          </w:tcPr>
          <w:p w:rsidR="00D80BC4" w:rsidRPr="00D80BC4" w:rsidRDefault="00D80BC4" w:rsidP="004E050E">
            <w:pPr>
              <w:keepNext/>
              <w:keepLines/>
              <w:spacing w:after="0" w:line="240" w:lineRule="auto"/>
              <w:jc w:val="right"/>
              <w:rPr>
                <w:rFonts w:ascii="Open Sans" w:hAnsi="Open Sans" w:cs="Open Sans"/>
                <w:sz w:val="20"/>
                <w:szCs w:val="20"/>
              </w:rPr>
            </w:pPr>
            <w:r w:rsidRPr="00D80BC4">
              <w:rPr>
                <w:rFonts w:ascii="Open Sans" w:hAnsi="Open Sans" w:cs="Open Sans"/>
                <w:sz w:val="20"/>
                <w:szCs w:val="20"/>
              </w:rPr>
              <w:t>12.052</w:t>
            </w:r>
          </w:p>
        </w:tc>
        <w:tc>
          <w:tcPr>
            <w:tcW w:w="3118" w:type="dxa"/>
            <w:shd w:val="clear" w:color="auto" w:fill="auto"/>
            <w:tcMar>
              <w:top w:w="15" w:type="dxa"/>
              <w:left w:w="108" w:type="dxa"/>
              <w:bottom w:w="0" w:type="dxa"/>
              <w:right w:w="108" w:type="dxa"/>
            </w:tcMar>
            <w:vAlign w:val="center"/>
            <w:hideMark/>
          </w:tcPr>
          <w:p w:rsidR="00D80BC4" w:rsidRPr="00D80BC4" w:rsidRDefault="00D80BC4" w:rsidP="005B7798">
            <w:pPr>
              <w:keepNext/>
              <w:keepLines/>
              <w:spacing w:after="0" w:line="240" w:lineRule="auto"/>
              <w:jc w:val="right"/>
              <w:rPr>
                <w:rFonts w:ascii="Open Sans" w:hAnsi="Open Sans" w:cs="Open Sans"/>
                <w:sz w:val="20"/>
                <w:szCs w:val="20"/>
              </w:rPr>
            </w:pPr>
            <w:r w:rsidRPr="00D80BC4">
              <w:rPr>
                <w:rFonts w:ascii="Open Sans" w:hAnsi="Open Sans" w:cs="Open Sans"/>
                <w:sz w:val="20"/>
                <w:szCs w:val="20"/>
              </w:rPr>
              <w:t>5.504,43</w:t>
            </w:r>
          </w:p>
        </w:tc>
      </w:tr>
      <w:tr w:rsidR="00275979" w:rsidRPr="00D80BC4" w:rsidTr="005B7798">
        <w:trPr>
          <w:cantSplit/>
        </w:trPr>
        <w:tc>
          <w:tcPr>
            <w:tcW w:w="250" w:type="dxa"/>
            <w:shd w:val="clear" w:color="auto" w:fill="F2F2F2" w:themeFill="background1" w:themeFillShade="F2"/>
          </w:tcPr>
          <w:p w:rsidR="00D80BC4" w:rsidRPr="00D80BC4" w:rsidRDefault="00D80BC4" w:rsidP="004E050E">
            <w:pPr>
              <w:keepNext/>
              <w:keepLines/>
              <w:spacing w:after="0" w:line="240" w:lineRule="auto"/>
              <w:jc w:val="both"/>
              <w:rPr>
                <w:rFonts w:ascii="Open Sans" w:hAnsi="Open Sans" w:cs="Open Sans"/>
                <w:sz w:val="20"/>
                <w:szCs w:val="20"/>
              </w:rPr>
            </w:pPr>
            <w:r>
              <w:rPr>
                <w:rFonts w:ascii="Open Sans" w:hAnsi="Open Sans" w:cs="Open Sans"/>
                <w:sz w:val="20"/>
                <w:szCs w:val="20"/>
              </w:rPr>
              <w:br/>
            </w:r>
          </w:p>
        </w:tc>
        <w:tc>
          <w:tcPr>
            <w:tcW w:w="1843" w:type="dxa"/>
            <w:shd w:val="clear" w:color="auto" w:fill="F2F2F2" w:themeFill="background1" w:themeFillShade="F2"/>
            <w:tcMar>
              <w:top w:w="15" w:type="dxa"/>
              <w:left w:w="108" w:type="dxa"/>
              <w:bottom w:w="0" w:type="dxa"/>
              <w:right w:w="108" w:type="dxa"/>
            </w:tcMar>
            <w:vAlign w:val="center"/>
            <w:hideMark/>
          </w:tcPr>
          <w:p w:rsidR="00D80BC4" w:rsidRPr="00D80BC4" w:rsidRDefault="00D80BC4" w:rsidP="004E050E">
            <w:pPr>
              <w:keepNext/>
              <w:keepLines/>
              <w:spacing w:after="0" w:line="240" w:lineRule="auto"/>
              <w:jc w:val="both"/>
              <w:rPr>
                <w:rFonts w:ascii="Open Sans" w:hAnsi="Open Sans" w:cs="Open Sans"/>
                <w:sz w:val="20"/>
                <w:szCs w:val="20"/>
              </w:rPr>
            </w:pPr>
            <w:r w:rsidRPr="00D80BC4">
              <w:rPr>
                <w:rFonts w:ascii="Open Sans" w:hAnsi="Open Sans" w:cs="Open Sans"/>
                <w:sz w:val="20"/>
                <w:szCs w:val="20"/>
              </w:rPr>
              <w:t>c525_19</w:t>
            </w:r>
          </w:p>
        </w:tc>
        <w:tc>
          <w:tcPr>
            <w:tcW w:w="2977" w:type="dxa"/>
            <w:shd w:val="clear" w:color="auto" w:fill="F2F2F2" w:themeFill="background1" w:themeFillShade="F2"/>
            <w:tcMar>
              <w:top w:w="15" w:type="dxa"/>
              <w:left w:w="108" w:type="dxa"/>
              <w:bottom w:w="0" w:type="dxa"/>
              <w:right w:w="108" w:type="dxa"/>
            </w:tcMar>
            <w:vAlign w:val="center"/>
            <w:hideMark/>
          </w:tcPr>
          <w:p w:rsidR="00D80BC4" w:rsidRPr="00D80BC4" w:rsidRDefault="00D80BC4" w:rsidP="004E050E">
            <w:pPr>
              <w:keepNext/>
              <w:keepLines/>
              <w:spacing w:after="0" w:line="240" w:lineRule="auto"/>
              <w:jc w:val="right"/>
              <w:rPr>
                <w:rFonts w:ascii="Open Sans" w:hAnsi="Open Sans" w:cs="Open Sans"/>
                <w:sz w:val="20"/>
                <w:szCs w:val="20"/>
              </w:rPr>
            </w:pPr>
            <w:r w:rsidRPr="00D80BC4">
              <w:rPr>
                <w:rFonts w:ascii="Open Sans" w:hAnsi="Open Sans" w:cs="Open Sans"/>
                <w:sz w:val="20"/>
                <w:szCs w:val="20"/>
              </w:rPr>
              <w:t>11.215</w:t>
            </w:r>
          </w:p>
        </w:tc>
        <w:tc>
          <w:tcPr>
            <w:tcW w:w="3118" w:type="dxa"/>
            <w:shd w:val="clear" w:color="auto" w:fill="F2F2F2" w:themeFill="background1" w:themeFillShade="F2"/>
            <w:tcMar>
              <w:top w:w="15" w:type="dxa"/>
              <w:left w:w="108" w:type="dxa"/>
              <w:bottom w:w="0" w:type="dxa"/>
              <w:right w:w="108" w:type="dxa"/>
            </w:tcMar>
            <w:vAlign w:val="center"/>
            <w:hideMark/>
          </w:tcPr>
          <w:p w:rsidR="00D80BC4" w:rsidRPr="00D80BC4" w:rsidRDefault="00D80BC4" w:rsidP="005B7798">
            <w:pPr>
              <w:keepNext/>
              <w:keepLines/>
              <w:spacing w:after="0" w:line="240" w:lineRule="auto"/>
              <w:jc w:val="right"/>
              <w:rPr>
                <w:rFonts w:ascii="Open Sans" w:hAnsi="Open Sans" w:cs="Open Sans"/>
                <w:sz w:val="20"/>
                <w:szCs w:val="20"/>
              </w:rPr>
            </w:pPr>
            <w:r w:rsidRPr="00D80BC4">
              <w:rPr>
                <w:rFonts w:ascii="Open Sans" w:hAnsi="Open Sans" w:cs="Open Sans"/>
                <w:sz w:val="20"/>
                <w:szCs w:val="20"/>
              </w:rPr>
              <w:t>3.612,02</w:t>
            </w:r>
          </w:p>
        </w:tc>
      </w:tr>
      <w:tr w:rsidR="00D80BC4" w:rsidRPr="00D80BC4" w:rsidTr="005B7798">
        <w:trPr>
          <w:cantSplit/>
        </w:trPr>
        <w:tc>
          <w:tcPr>
            <w:tcW w:w="250" w:type="dxa"/>
          </w:tcPr>
          <w:p w:rsidR="00D80BC4" w:rsidRPr="00D80BC4" w:rsidRDefault="00D80BC4" w:rsidP="004E050E">
            <w:pPr>
              <w:keepNext/>
              <w:keepLines/>
              <w:spacing w:after="0" w:line="240" w:lineRule="auto"/>
              <w:jc w:val="both"/>
              <w:rPr>
                <w:rFonts w:ascii="Open Sans" w:hAnsi="Open Sans" w:cs="Open Sans"/>
                <w:sz w:val="20"/>
                <w:szCs w:val="20"/>
              </w:rPr>
            </w:pPr>
            <w:r>
              <w:rPr>
                <w:rFonts w:ascii="Open Sans" w:hAnsi="Open Sans" w:cs="Open Sans"/>
                <w:sz w:val="20"/>
                <w:szCs w:val="20"/>
              </w:rPr>
              <w:br/>
            </w:r>
          </w:p>
        </w:tc>
        <w:tc>
          <w:tcPr>
            <w:tcW w:w="1843" w:type="dxa"/>
            <w:shd w:val="clear" w:color="auto" w:fill="auto"/>
            <w:tcMar>
              <w:top w:w="15" w:type="dxa"/>
              <w:left w:w="108" w:type="dxa"/>
              <w:bottom w:w="0" w:type="dxa"/>
              <w:right w:w="108" w:type="dxa"/>
            </w:tcMar>
            <w:vAlign w:val="center"/>
            <w:hideMark/>
          </w:tcPr>
          <w:p w:rsidR="00D80BC4" w:rsidRPr="00D80BC4" w:rsidRDefault="00D80BC4" w:rsidP="004E050E">
            <w:pPr>
              <w:keepNext/>
              <w:keepLines/>
              <w:spacing w:after="0" w:line="240" w:lineRule="auto"/>
              <w:jc w:val="both"/>
              <w:rPr>
                <w:rFonts w:ascii="Open Sans" w:hAnsi="Open Sans" w:cs="Open Sans"/>
                <w:sz w:val="20"/>
                <w:szCs w:val="20"/>
              </w:rPr>
            </w:pPr>
            <w:r w:rsidRPr="00D80BC4">
              <w:rPr>
                <w:rFonts w:ascii="Open Sans" w:hAnsi="Open Sans" w:cs="Open Sans"/>
                <w:sz w:val="20"/>
                <w:szCs w:val="20"/>
              </w:rPr>
              <w:t>c520_17</w:t>
            </w:r>
          </w:p>
        </w:tc>
        <w:tc>
          <w:tcPr>
            <w:tcW w:w="2977" w:type="dxa"/>
            <w:shd w:val="clear" w:color="auto" w:fill="auto"/>
            <w:tcMar>
              <w:top w:w="15" w:type="dxa"/>
              <w:left w:w="108" w:type="dxa"/>
              <w:bottom w:w="0" w:type="dxa"/>
              <w:right w:w="108" w:type="dxa"/>
            </w:tcMar>
            <w:vAlign w:val="center"/>
            <w:hideMark/>
          </w:tcPr>
          <w:p w:rsidR="00D80BC4" w:rsidRPr="00D80BC4" w:rsidRDefault="00D80BC4" w:rsidP="004E050E">
            <w:pPr>
              <w:keepNext/>
              <w:keepLines/>
              <w:spacing w:after="0" w:line="240" w:lineRule="auto"/>
              <w:jc w:val="right"/>
              <w:rPr>
                <w:rFonts w:ascii="Open Sans" w:hAnsi="Open Sans" w:cs="Open Sans"/>
                <w:sz w:val="20"/>
                <w:szCs w:val="20"/>
              </w:rPr>
            </w:pPr>
            <w:r w:rsidRPr="00D80BC4">
              <w:rPr>
                <w:rFonts w:ascii="Open Sans" w:hAnsi="Open Sans" w:cs="Open Sans"/>
                <w:sz w:val="20"/>
                <w:szCs w:val="20"/>
              </w:rPr>
              <w:t>7.501</w:t>
            </w:r>
          </w:p>
        </w:tc>
        <w:tc>
          <w:tcPr>
            <w:tcW w:w="3118" w:type="dxa"/>
            <w:shd w:val="clear" w:color="auto" w:fill="auto"/>
            <w:tcMar>
              <w:top w:w="15" w:type="dxa"/>
              <w:left w:w="108" w:type="dxa"/>
              <w:bottom w:w="0" w:type="dxa"/>
              <w:right w:w="108" w:type="dxa"/>
            </w:tcMar>
            <w:vAlign w:val="center"/>
            <w:hideMark/>
          </w:tcPr>
          <w:p w:rsidR="00D80BC4" w:rsidRPr="00D80BC4" w:rsidRDefault="00D80BC4" w:rsidP="005B7798">
            <w:pPr>
              <w:keepNext/>
              <w:keepLines/>
              <w:spacing w:after="0" w:line="240" w:lineRule="auto"/>
              <w:jc w:val="right"/>
              <w:rPr>
                <w:rFonts w:ascii="Open Sans" w:hAnsi="Open Sans" w:cs="Open Sans"/>
                <w:sz w:val="20"/>
                <w:szCs w:val="20"/>
              </w:rPr>
            </w:pPr>
            <w:r w:rsidRPr="00D80BC4">
              <w:rPr>
                <w:rFonts w:ascii="Open Sans" w:hAnsi="Open Sans" w:cs="Open Sans"/>
                <w:sz w:val="20"/>
                <w:szCs w:val="20"/>
              </w:rPr>
              <w:t>1.253,92</w:t>
            </w:r>
          </w:p>
        </w:tc>
      </w:tr>
      <w:tr w:rsidR="00275979" w:rsidRPr="00D80BC4" w:rsidTr="005B7798">
        <w:trPr>
          <w:cantSplit/>
        </w:trPr>
        <w:tc>
          <w:tcPr>
            <w:tcW w:w="250" w:type="dxa"/>
            <w:shd w:val="clear" w:color="auto" w:fill="F2F2F2" w:themeFill="background1" w:themeFillShade="F2"/>
          </w:tcPr>
          <w:p w:rsidR="00D80BC4" w:rsidRPr="00D80BC4" w:rsidRDefault="00D80BC4" w:rsidP="004E050E">
            <w:pPr>
              <w:keepNext/>
              <w:keepLines/>
              <w:spacing w:after="0" w:line="240" w:lineRule="auto"/>
              <w:jc w:val="both"/>
              <w:rPr>
                <w:rFonts w:ascii="Open Sans" w:hAnsi="Open Sans" w:cs="Open Sans"/>
                <w:sz w:val="20"/>
                <w:szCs w:val="20"/>
              </w:rPr>
            </w:pPr>
            <w:r>
              <w:rPr>
                <w:rFonts w:ascii="Open Sans" w:hAnsi="Open Sans" w:cs="Open Sans"/>
                <w:sz w:val="20"/>
                <w:szCs w:val="20"/>
              </w:rPr>
              <w:br/>
            </w:r>
          </w:p>
        </w:tc>
        <w:tc>
          <w:tcPr>
            <w:tcW w:w="1843" w:type="dxa"/>
            <w:shd w:val="clear" w:color="auto" w:fill="F2F2F2" w:themeFill="background1" w:themeFillShade="F2"/>
            <w:tcMar>
              <w:top w:w="15" w:type="dxa"/>
              <w:left w:w="108" w:type="dxa"/>
              <w:bottom w:w="0" w:type="dxa"/>
              <w:right w:w="108" w:type="dxa"/>
            </w:tcMar>
            <w:vAlign w:val="center"/>
            <w:hideMark/>
          </w:tcPr>
          <w:p w:rsidR="00D80BC4" w:rsidRPr="00D80BC4" w:rsidRDefault="00D80BC4" w:rsidP="004E050E">
            <w:pPr>
              <w:keepNext/>
              <w:keepLines/>
              <w:spacing w:after="0" w:line="240" w:lineRule="auto"/>
              <w:jc w:val="both"/>
              <w:rPr>
                <w:rFonts w:ascii="Open Sans" w:hAnsi="Open Sans" w:cs="Open Sans"/>
                <w:sz w:val="20"/>
                <w:szCs w:val="20"/>
              </w:rPr>
            </w:pPr>
            <w:r w:rsidRPr="00D80BC4">
              <w:rPr>
                <w:rFonts w:ascii="Open Sans" w:hAnsi="Open Sans" w:cs="Open Sans"/>
                <w:sz w:val="20"/>
                <w:szCs w:val="20"/>
              </w:rPr>
              <w:t>c555_25</w:t>
            </w:r>
          </w:p>
        </w:tc>
        <w:tc>
          <w:tcPr>
            <w:tcW w:w="2977" w:type="dxa"/>
            <w:shd w:val="clear" w:color="auto" w:fill="F2F2F2" w:themeFill="background1" w:themeFillShade="F2"/>
            <w:tcMar>
              <w:top w:w="15" w:type="dxa"/>
              <w:left w:w="108" w:type="dxa"/>
              <w:bottom w:w="0" w:type="dxa"/>
              <w:right w:w="108" w:type="dxa"/>
            </w:tcMar>
            <w:vAlign w:val="center"/>
            <w:hideMark/>
          </w:tcPr>
          <w:p w:rsidR="00D80BC4" w:rsidRPr="00D80BC4" w:rsidRDefault="00D80BC4" w:rsidP="004E050E">
            <w:pPr>
              <w:keepNext/>
              <w:keepLines/>
              <w:spacing w:after="0" w:line="240" w:lineRule="auto"/>
              <w:jc w:val="right"/>
              <w:rPr>
                <w:rFonts w:ascii="Open Sans" w:hAnsi="Open Sans" w:cs="Open Sans"/>
                <w:sz w:val="20"/>
                <w:szCs w:val="20"/>
              </w:rPr>
            </w:pPr>
            <w:r w:rsidRPr="00D80BC4">
              <w:rPr>
                <w:rFonts w:ascii="Open Sans" w:hAnsi="Open Sans" w:cs="Open Sans"/>
                <w:sz w:val="20"/>
                <w:szCs w:val="20"/>
              </w:rPr>
              <w:t>4.896</w:t>
            </w:r>
          </w:p>
        </w:tc>
        <w:tc>
          <w:tcPr>
            <w:tcW w:w="3118" w:type="dxa"/>
            <w:shd w:val="clear" w:color="auto" w:fill="F2F2F2" w:themeFill="background1" w:themeFillShade="F2"/>
            <w:tcMar>
              <w:top w:w="15" w:type="dxa"/>
              <w:left w:w="108" w:type="dxa"/>
              <w:bottom w:w="0" w:type="dxa"/>
              <w:right w:w="108" w:type="dxa"/>
            </w:tcMar>
            <w:vAlign w:val="center"/>
            <w:hideMark/>
          </w:tcPr>
          <w:p w:rsidR="00D80BC4" w:rsidRPr="00D80BC4" w:rsidRDefault="00D80BC4" w:rsidP="005B7798">
            <w:pPr>
              <w:keepNext/>
              <w:keepLines/>
              <w:spacing w:after="0" w:line="240" w:lineRule="auto"/>
              <w:jc w:val="right"/>
              <w:rPr>
                <w:rFonts w:ascii="Open Sans" w:hAnsi="Open Sans" w:cs="Open Sans"/>
                <w:sz w:val="20"/>
                <w:szCs w:val="20"/>
              </w:rPr>
            </w:pPr>
            <w:r w:rsidRPr="00D80BC4">
              <w:rPr>
                <w:rFonts w:ascii="Open Sans" w:hAnsi="Open Sans" w:cs="Open Sans"/>
                <w:sz w:val="20"/>
                <w:szCs w:val="20"/>
              </w:rPr>
              <w:t>784,52</w:t>
            </w:r>
          </w:p>
        </w:tc>
      </w:tr>
      <w:tr w:rsidR="00D80BC4" w:rsidRPr="00D80BC4" w:rsidTr="005B7798">
        <w:trPr>
          <w:cantSplit/>
        </w:trPr>
        <w:tc>
          <w:tcPr>
            <w:tcW w:w="250" w:type="dxa"/>
          </w:tcPr>
          <w:p w:rsidR="00D80BC4" w:rsidRPr="00D80BC4" w:rsidRDefault="00D80BC4" w:rsidP="004E050E">
            <w:pPr>
              <w:keepNext/>
              <w:keepLines/>
              <w:spacing w:after="0" w:line="240" w:lineRule="auto"/>
              <w:jc w:val="both"/>
              <w:rPr>
                <w:rFonts w:ascii="Open Sans" w:hAnsi="Open Sans" w:cs="Open Sans"/>
                <w:sz w:val="20"/>
                <w:szCs w:val="20"/>
              </w:rPr>
            </w:pPr>
            <w:r>
              <w:rPr>
                <w:rFonts w:ascii="Open Sans" w:hAnsi="Open Sans" w:cs="Open Sans"/>
                <w:sz w:val="20"/>
                <w:szCs w:val="20"/>
              </w:rPr>
              <w:br/>
            </w:r>
          </w:p>
        </w:tc>
        <w:tc>
          <w:tcPr>
            <w:tcW w:w="1843" w:type="dxa"/>
            <w:shd w:val="clear" w:color="auto" w:fill="auto"/>
            <w:tcMar>
              <w:top w:w="15" w:type="dxa"/>
              <w:left w:w="108" w:type="dxa"/>
              <w:bottom w:w="0" w:type="dxa"/>
              <w:right w:w="108" w:type="dxa"/>
            </w:tcMar>
            <w:vAlign w:val="center"/>
            <w:hideMark/>
          </w:tcPr>
          <w:p w:rsidR="00D80BC4" w:rsidRPr="00D80BC4" w:rsidRDefault="00D80BC4" w:rsidP="004E050E">
            <w:pPr>
              <w:keepNext/>
              <w:keepLines/>
              <w:spacing w:after="0" w:line="240" w:lineRule="auto"/>
              <w:jc w:val="both"/>
              <w:rPr>
                <w:rFonts w:ascii="Open Sans" w:hAnsi="Open Sans" w:cs="Open Sans"/>
                <w:sz w:val="20"/>
                <w:szCs w:val="20"/>
              </w:rPr>
            </w:pPr>
            <w:r w:rsidRPr="00D80BC4">
              <w:rPr>
                <w:rFonts w:ascii="Open Sans" w:hAnsi="Open Sans" w:cs="Open Sans"/>
                <w:sz w:val="20"/>
                <w:szCs w:val="20"/>
              </w:rPr>
              <w:t>c829_1</w:t>
            </w:r>
          </w:p>
        </w:tc>
        <w:tc>
          <w:tcPr>
            <w:tcW w:w="2977" w:type="dxa"/>
            <w:shd w:val="clear" w:color="auto" w:fill="auto"/>
            <w:tcMar>
              <w:top w:w="15" w:type="dxa"/>
              <w:left w:w="108" w:type="dxa"/>
              <w:bottom w:w="0" w:type="dxa"/>
              <w:right w:w="108" w:type="dxa"/>
            </w:tcMar>
            <w:vAlign w:val="center"/>
            <w:hideMark/>
          </w:tcPr>
          <w:p w:rsidR="00D80BC4" w:rsidRPr="00D80BC4" w:rsidRDefault="00D80BC4" w:rsidP="004E050E">
            <w:pPr>
              <w:keepNext/>
              <w:keepLines/>
              <w:spacing w:after="0" w:line="240" w:lineRule="auto"/>
              <w:jc w:val="right"/>
              <w:rPr>
                <w:rFonts w:ascii="Open Sans" w:hAnsi="Open Sans" w:cs="Open Sans"/>
                <w:sz w:val="20"/>
                <w:szCs w:val="20"/>
              </w:rPr>
            </w:pPr>
            <w:r w:rsidRPr="00D80BC4">
              <w:rPr>
                <w:rFonts w:ascii="Open Sans" w:hAnsi="Open Sans" w:cs="Open Sans"/>
                <w:sz w:val="20"/>
                <w:szCs w:val="20"/>
              </w:rPr>
              <w:t>838</w:t>
            </w:r>
          </w:p>
        </w:tc>
        <w:tc>
          <w:tcPr>
            <w:tcW w:w="3118" w:type="dxa"/>
            <w:shd w:val="clear" w:color="auto" w:fill="auto"/>
            <w:tcMar>
              <w:top w:w="15" w:type="dxa"/>
              <w:left w:w="108" w:type="dxa"/>
              <w:bottom w:w="0" w:type="dxa"/>
              <w:right w:w="108" w:type="dxa"/>
            </w:tcMar>
            <w:vAlign w:val="center"/>
            <w:hideMark/>
          </w:tcPr>
          <w:p w:rsidR="00D80BC4" w:rsidRPr="00D80BC4" w:rsidRDefault="00D80BC4" w:rsidP="005B7798">
            <w:pPr>
              <w:keepNext/>
              <w:keepLines/>
              <w:spacing w:after="0" w:line="240" w:lineRule="auto"/>
              <w:jc w:val="right"/>
              <w:rPr>
                <w:rFonts w:ascii="Open Sans" w:hAnsi="Open Sans" w:cs="Open Sans"/>
                <w:sz w:val="20"/>
                <w:szCs w:val="20"/>
              </w:rPr>
            </w:pPr>
            <w:r w:rsidRPr="00D80BC4">
              <w:rPr>
                <w:rFonts w:ascii="Open Sans" w:hAnsi="Open Sans" w:cs="Open Sans"/>
                <w:sz w:val="20"/>
                <w:szCs w:val="20"/>
              </w:rPr>
              <w:t>522,58</w:t>
            </w:r>
          </w:p>
        </w:tc>
      </w:tr>
      <w:tr w:rsidR="00275979" w:rsidRPr="00D80BC4" w:rsidTr="005B7798">
        <w:trPr>
          <w:cantSplit/>
        </w:trPr>
        <w:tc>
          <w:tcPr>
            <w:tcW w:w="250" w:type="dxa"/>
            <w:shd w:val="clear" w:color="auto" w:fill="F2F2F2" w:themeFill="background1" w:themeFillShade="F2"/>
          </w:tcPr>
          <w:p w:rsidR="00D80BC4" w:rsidRPr="00D80BC4" w:rsidRDefault="00D80BC4" w:rsidP="004E050E">
            <w:pPr>
              <w:keepNext/>
              <w:keepLines/>
              <w:spacing w:after="0" w:line="240" w:lineRule="auto"/>
              <w:jc w:val="both"/>
              <w:rPr>
                <w:rFonts w:ascii="Open Sans" w:hAnsi="Open Sans" w:cs="Open Sans"/>
                <w:sz w:val="20"/>
                <w:szCs w:val="20"/>
              </w:rPr>
            </w:pPr>
            <w:r>
              <w:rPr>
                <w:rFonts w:ascii="Open Sans" w:hAnsi="Open Sans" w:cs="Open Sans"/>
                <w:sz w:val="20"/>
                <w:szCs w:val="20"/>
              </w:rPr>
              <w:br/>
            </w:r>
          </w:p>
        </w:tc>
        <w:tc>
          <w:tcPr>
            <w:tcW w:w="1843" w:type="dxa"/>
            <w:shd w:val="clear" w:color="auto" w:fill="F2F2F2" w:themeFill="background1" w:themeFillShade="F2"/>
            <w:tcMar>
              <w:top w:w="15" w:type="dxa"/>
              <w:left w:w="108" w:type="dxa"/>
              <w:bottom w:w="0" w:type="dxa"/>
              <w:right w:w="108" w:type="dxa"/>
            </w:tcMar>
            <w:vAlign w:val="center"/>
            <w:hideMark/>
          </w:tcPr>
          <w:p w:rsidR="00D80BC4" w:rsidRPr="00D80BC4" w:rsidRDefault="00D80BC4" w:rsidP="004E050E">
            <w:pPr>
              <w:keepNext/>
              <w:keepLines/>
              <w:spacing w:after="0" w:line="240" w:lineRule="auto"/>
              <w:jc w:val="both"/>
              <w:rPr>
                <w:rFonts w:ascii="Open Sans" w:hAnsi="Open Sans" w:cs="Open Sans"/>
                <w:sz w:val="20"/>
                <w:szCs w:val="20"/>
              </w:rPr>
            </w:pPr>
            <w:r w:rsidRPr="00D80BC4">
              <w:rPr>
                <w:rFonts w:ascii="Open Sans" w:hAnsi="Open Sans" w:cs="Open Sans"/>
                <w:sz w:val="20"/>
                <w:szCs w:val="20"/>
              </w:rPr>
              <w:t>c394_1</w:t>
            </w:r>
          </w:p>
        </w:tc>
        <w:tc>
          <w:tcPr>
            <w:tcW w:w="2977" w:type="dxa"/>
            <w:shd w:val="clear" w:color="auto" w:fill="F2F2F2" w:themeFill="background1" w:themeFillShade="F2"/>
            <w:tcMar>
              <w:top w:w="15" w:type="dxa"/>
              <w:left w:w="108" w:type="dxa"/>
              <w:bottom w:w="0" w:type="dxa"/>
              <w:right w:w="108" w:type="dxa"/>
            </w:tcMar>
            <w:vAlign w:val="center"/>
            <w:hideMark/>
          </w:tcPr>
          <w:p w:rsidR="00D80BC4" w:rsidRPr="00D80BC4" w:rsidRDefault="00D80BC4" w:rsidP="004E050E">
            <w:pPr>
              <w:keepNext/>
              <w:keepLines/>
              <w:spacing w:after="0" w:line="240" w:lineRule="auto"/>
              <w:jc w:val="right"/>
              <w:rPr>
                <w:rFonts w:ascii="Open Sans" w:hAnsi="Open Sans" w:cs="Open Sans"/>
                <w:sz w:val="20"/>
                <w:szCs w:val="20"/>
              </w:rPr>
            </w:pPr>
            <w:r w:rsidRPr="00D80BC4">
              <w:rPr>
                <w:rFonts w:ascii="Open Sans" w:hAnsi="Open Sans" w:cs="Open Sans"/>
                <w:sz w:val="20"/>
                <w:szCs w:val="20"/>
              </w:rPr>
              <w:t>1.330</w:t>
            </w:r>
          </w:p>
        </w:tc>
        <w:tc>
          <w:tcPr>
            <w:tcW w:w="3118" w:type="dxa"/>
            <w:shd w:val="clear" w:color="auto" w:fill="F2F2F2" w:themeFill="background1" w:themeFillShade="F2"/>
            <w:tcMar>
              <w:top w:w="15" w:type="dxa"/>
              <w:left w:w="108" w:type="dxa"/>
              <w:bottom w:w="0" w:type="dxa"/>
              <w:right w:w="108" w:type="dxa"/>
            </w:tcMar>
            <w:vAlign w:val="center"/>
            <w:hideMark/>
          </w:tcPr>
          <w:p w:rsidR="00D80BC4" w:rsidRPr="00D80BC4" w:rsidRDefault="00D80BC4" w:rsidP="005B7798">
            <w:pPr>
              <w:keepNext/>
              <w:keepLines/>
              <w:spacing w:after="0" w:line="240" w:lineRule="auto"/>
              <w:jc w:val="right"/>
              <w:rPr>
                <w:rFonts w:ascii="Open Sans" w:hAnsi="Open Sans" w:cs="Open Sans"/>
                <w:sz w:val="20"/>
                <w:szCs w:val="20"/>
              </w:rPr>
            </w:pPr>
            <w:r w:rsidRPr="00D80BC4">
              <w:rPr>
                <w:rFonts w:ascii="Open Sans" w:hAnsi="Open Sans" w:cs="Open Sans"/>
                <w:sz w:val="20"/>
                <w:szCs w:val="20"/>
              </w:rPr>
              <w:t>505,39</w:t>
            </w:r>
          </w:p>
        </w:tc>
      </w:tr>
      <w:tr w:rsidR="00D80BC4" w:rsidRPr="00D80BC4" w:rsidTr="005B7798">
        <w:trPr>
          <w:cantSplit/>
        </w:trPr>
        <w:tc>
          <w:tcPr>
            <w:tcW w:w="250" w:type="dxa"/>
          </w:tcPr>
          <w:p w:rsidR="00D80BC4" w:rsidRPr="00D80BC4" w:rsidRDefault="00D80BC4" w:rsidP="004E050E">
            <w:pPr>
              <w:keepNext/>
              <w:keepLines/>
              <w:spacing w:after="0" w:line="240" w:lineRule="auto"/>
              <w:jc w:val="both"/>
              <w:rPr>
                <w:rFonts w:ascii="Open Sans" w:hAnsi="Open Sans" w:cs="Open Sans"/>
                <w:sz w:val="20"/>
                <w:szCs w:val="20"/>
              </w:rPr>
            </w:pPr>
            <w:r>
              <w:rPr>
                <w:rFonts w:ascii="Open Sans" w:hAnsi="Open Sans" w:cs="Open Sans"/>
                <w:sz w:val="20"/>
                <w:szCs w:val="20"/>
              </w:rPr>
              <w:br/>
            </w:r>
          </w:p>
        </w:tc>
        <w:tc>
          <w:tcPr>
            <w:tcW w:w="1843" w:type="dxa"/>
            <w:shd w:val="clear" w:color="auto" w:fill="auto"/>
            <w:tcMar>
              <w:top w:w="15" w:type="dxa"/>
              <w:left w:w="108" w:type="dxa"/>
              <w:bottom w:w="0" w:type="dxa"/>
              <w:right w:w="108" w:type="dxa"/>
            </w:tcMar>
            <w:vAlign w:val="center"/>
            <w:hideMark/>
          </w:tcPr>
          <w:p w:rsidR="00D80BC4" w:rsidRPr="00D80BC4" w:rsidRDefault="00D80BC4" w:rsidP="004E050E">
            <w:pPr>
              <w:keepNext/>
              <w:keepLines/>
              <w:spacing w:after="0" w:line="240" w:lineRule="auto"/>
              <w:jc w:val="both"/>
              <w:rPr>
                <w:rFonts w:ascii="Open Sans" w:hAnsi="Open Sans" w:cs="Open Sans"/>
                <w:sz w:val="20"/>
                <w:szCs w:val="20"/>
              </w:rPr>
            </w:pPr>
            <w:r w:rsidRPr="00D80BC4">
              <w:rPr>
                <w:rFonts w:ascii="Open Sans" w:hAnsi="Open Sans" w:cs="Open Sans"/>
                <w:sz w:val="20"/>
                <w:szCs w:val="20"/>
              </w:rPr>
              <w:t>c395_3</w:t>
            </w:r>
          </w:p>
        </w:tc>
        <w:tc>
          <w:tcPr>
            <w:tcW w:w="2977" w:type="dxa"/>
            <w:shd w:val="clear" w:color="auto" w:fill="auto"/>
            <w:tcMar>
              <w:top w:w="15" w:type="dxa"/>
              <w:left w:w="108" w:type="dxa"/>
              <w:bottom w:w="0" w:type="dxa"/>
              <w:right w:w="108" w:type="dxa"/>
            </w:tcMar>
            <w:vAlign w:val="center"/>
            <w:hideMark/>
          </w:tcPr>
          <w:p w:rsidR="00D80BC4" w:rsidRPr="00D80BC4" w:rsidRDefault="00D80BC4" w:rsidP="004E050E">
            <w:pPr>
              <w:keepNext/>
              <w:keepLines/>
              <w:spacing w:after="0" w:line="240" w:lineRule="auto"/>
              <w:jc w:val="right"/>
              <w:rPr>
                <w:rFonts w:ascii="Open Sans" w:hAnsi="Open Sans" w:cs="Open Sans"/>
                <w:sz w:val="20"/>
                <w:szCs w:val="20"/>
              </w:rPr>
            </w:pPr>
            <w:r w:rsidRPr="00D80BC4">
              <w:rPr>
                <w:rFonts w:ascii="Open Sans" w:hAnsi="Open Sans" w:cs="Open Sans"/>
                <w:sz w:val="20"/>
                <w:szCs w:val="20"/>
              </w:rPr>
              <w:t>665</w:t>
            </w:r>
          </w:p>
        </w:tc>
        <w:tc>
          <w:tcPr>
            <w:tcW w:w="3118" w:type="dxa"/>
            <w:shd w:val="clear" w:color="auto" w:fill="auto"/>
            <w:tcMar>
              <w:top w:w="15" w:type="dxa"/>
              <w:left w:w="108" w:type="dxa"/>
              <w:bottom w:w="0" w:type="dxa"/>
              <w:right w:w="108" w:type="dxa"/>
            </w:tcMar>
            <w:vAlign w:val="center"/>
            <w:hideMark/>
          </w:tcPr>
          <w:p w:rsidR="00D80BC4" w:rsidRPr="00D80BC4" w:rsidRDefault="00D80BC4" w:rsidP="005B7798">
            <w:pPr>
              <w:keepNext/>
              <w:keepLines/>
              <w:spacing w:after="0" w:line="240" w:lineRule="auto"/>
              <w:jc w:val="right"/>
              <w:rPr>
                <w:rFonts w:ascii="Open Sans" w:hAnsi="Open Sans" w:cs="Open Sans"/>
                <w:sz w:val="20"/>
                <w:szCs w:val="20"/>
              </w:rPr>
            </w:pPr>
            <w:r w:rsidRPr="00D80BC4">
              <w:rPr>
                <w:rFonts w:ascii="Open Sans" w:hAnsi="Open Sans" w:cs="Open Sans"/>
                <w:sz w:val="20"/>
                <w:szCs w:val="20"/>
              </w:rPr>
              <w:t>406,84</w:t>
            </w:r>
          </w:p>
        </w:tc>
      </w:tr>
      <w:tr w:rsidR="00275979" w:rsidRPr="00D80BC4" w:rsidTr="005B7798">
        <w:trPr>
          <w:cantSplit/>
        </w:trPr>
        <w:tc>
          <w:tcPr>
            <w:tcW w:w="250" w:type="dxa"/>
            <w:shd w:val="clear" w:color="auto" w:fill="F2F2F2" w:themeFill="background1" w:themeFillShade="F2"/>
          </w:tcPr>
          <w:p w:rsidR="00D80BC4" w:rsidRPr="00D80BC4" w:rsidRDefault="00D80BC4" w:rsidP="004E050E">
            <w:pPr>
              <w:keepNext/>
              <w:keepLines/>
              <w:spacing w:after="0" w:line="240" w:lineRule="auto"/>
              <w:jc w:val="both"/>
              <w:rPr>
                <w:rFonts w:ascii="Open Sans" w:hAnsi="Open Sans" w:cs="Open Sans"/>
                <w:sz w:val="20"/>
                <w:szCs w:val="20"/>
              </w:rPr>
            </w:pPr>
            <w:r>
              <w:rPr>
                <w:rFonts w:ascii="Open Sans" w:hAnsi="Open Sans" w:cs="Open Sans"/>
                <w:sz w:val="20"/>
                <w:szCs w:val="20"/>
              </w:rPr>
              <w:br/>
            </w:r>
          </w:p>
        </w:tc>
        <w:tc>
          <w:tcPr>
            <w:tcW w:w="1843" w:type="dxa"/>
            <w:shd w:val="clear" w:color="auto" w:fill="F2F2F2" w:themeFill="background1" w:themeFillShade="F2"/>
            <w:tcMar>
              <w:top w:w="15" w:type="dxa"/>
              <w:left w:w="108" w:type="dxa"/>
              <w:bottom w:w="0" w:type="dxa"/>
              <w:right w:w="108" w:type="dxa"/>
            </w:tcMar>
            <w:vAlign w:val="center"/>
            <w:hideMark/>
          </w:tcPr>
          <w:p w:rsidR="00D80BC4" w:rsidRPr="00D80BC4" w:rsidRDefault="00D80BC4" w:rsidP="004E050E">
            <w:pPr>
              <w:keepNext/>
              <w:keepLines/>
              <w:spacing w:after="0" w:line="240" w:lineRule="auto"/>
              <w:jc w:val="both"/>
              <w:rPr>
                <w:rFonts w:ascii="Open Sans" w:hAnsi="Open Sans" w:cs="Open Sans"/>
                <w:sz w:val="20"/>
                <w:szCs w:val="20"/>
              </w:rPr>
            </w:pPr>
            <w:r w:rsidRPr="00D80BC4">
              <w:rPr>
                <w:rFonts w:ascii="Open Sans" w:hAnsi="Open Sans" w:cs="Open Sans"/>
                <w:sz w:val="20"/>
                <w:szCs w:val="20"/>
              </w:rPr>
              <w:t>c262_4</w:t>
            </w:r>
          </w:p>
        </w:tc>
        <w:tc>
          <w:tcPr>
            <w:tcW w:w="2977" w:type="dxa"/>
            <w:shd w:val="clear" w:color="auto" w:fill="F2F2F2" w:themeFill="background1" w:themeFillShade="F2"/>
            <w:tcMar>
              <w:top w:w="15" w:type="dxa"/>
              <w:left w:w="108" w:type="dxa"/>
              <w:bottom w:w="0" w:type="dxa"/>
              <w:right w:w="108" w:type="dxa"/>
            </w:tcMar>
            <w:vAlign w:val="center"/>
            <w:hideMark/>
          </w:tcPr>
          <w:p w:rsidR="00D80BC4" w:rsidRPr="00D80BC4" w:rsidRDefault="00D80BC4" w:rsidP="004E050E">
            <w:pPr>
              <w:keepNext/>
              <w:keepLines/>
              <w:spacing w:after="0" w:line="240" w:lineRule="auto"/>
              <w:jc w:val="right"/>
              <w:rPr>
                <w:rFonts w:ascii="Open Sans" w:hAnsi="Open Sans" w:cs="Open Sans"/>
                <w:sz w:val="20"/>
                <w:szCs w:val="20"/>
              </w:rPr>
            </w:pPr>
            <w:r w:rsidRPr="00D80BC4">
              <w:rPr>
                <w:rFonts w:ascii="Open Sans" w:hAnsi="Open Sans" w:cs="Open Sans"/>
                <w:sz w:val="20"/>
                <w:szCs w:val="20"/>
              </w:rPr>
              <w:t>1.467</w:t>
            </w:r>
          </w:p>
        </w:tc>
        <w:tc>
          <w:tcPr>
            <w:tcW w:w="3118" w:type="dxa"/>
            <w:shd w:val="clear" w:color="auto" w:fill="F2F2F2" w:themeFill="background1" w:themeFillShade="F2"/>
            <w:tcMar>
              <w:top w:w="15" w:type="dxa"/>
              <w:left w:w="108" w:type="dxa"/>
              <w:bottom w:w="0" w:type="dxa"/>
              <w:right w:w="108" w:type="dxa"/>
            </w:tcMar>
            <w:vAlign w:val="center"/>
            <w:hideMark/>
          </w:tcPr>
          <w:p w:rsidR="00D80BC4" w:rsidRPr="00D80BC4" w:rsidRDefault="00D80BC4" w:rsidP="005B7798">
            <w:pPr>
              <w:keepNext/>
              <w:keepLines/>
              <w:spacing w:after="0" w:line="240" w:lineRule="auto"/>
              <w:jc w:val="right"/>
              <w:rPr>
                <w:rFonts w:ascii="Open Sans" w:hAnsi="Open Sans" w:cs="Open Sans"/>
                <w:sz w:val="20"/>
                <w:szCs w:val="20"/>
              </w:rPr>
            </w:pPr>
            <w:r w:rsidRPr="00D80BC4">
              <w:rPr>
                <w:rFonts w:ascii="Open Sans" w:hAnsi="Open Sans" w:cs="Open Sans"/>
                <w:sz w:val="20"/>
                <w:szCs w:val="20"/>
              </w:rPr>
              <w:t>321,06</w:t>
            </w:r>
          </w:p>
        </w:tc>
      </w:tr>
      <w:tr w:rsidR="00D80BC4" w:rsidRPr="00D80BC4" w:rsidTr="005B7798">
        <w:trPr>
          <w:cantSplit/>
        </w:trPr>
        <w:tc>
          <w:tcPr>
            <w:tcW w:w="250" w:type="dxa"/>
          </w:tcPr>
          <w:p w:rsidR="00D80BC4" w:rsidRPr="00D80BC4" w:rsidRDefault="00D80BC4" w:rsidP="004E050E">
            <w:pPr>
              <w:keepNext/>
              <w:keepLines/>
              <w:spacing w:after="0" w:line="240" w:lineRule="auto"/>
              <w:jc w:val="both"/>
              <w:rPr>
                <w:rFonts w:ascii="Open Sans" w:hAnsi="Open Sans" w:cs="Open Sans"/>
                <w:sz w:val="20"/>
                <w:szCs w:val="20"/>
              </w:rPr>
            </w:pPr>
            <w:r>
              <w:rPr>
                <w:rFonts w:ascii="Open Sans" w:hAnsi="Open Sans" w:cs="Open Sans"/>
                <w:sz w:val="20"/>
                <w:szCs w:val="20"/>
              </w:rPr>
              <w:br/>
            </w:r>
          </w:p>
        </w:tc>
        <w:tc>
          <w:tcPr>
            <w:tcW w:w="1843" w:type="dxa"/>
            <w:shd w:val="clear" w:color="auto" w:fill="auto"/>
            <w:tcMar>
              <w:top w:w="15" w:type="dxa"/>
              <w:left w:w="108" w:type="dxa"/>
              <w:bottom w:w="0" w:type="dxa"/>
              <w:right w:w="108" w:type="dxa"/>
            </w:tcMar>
            <w:vAlign w:val="center"/>
            <w:hideMark/>
          </w:tcPr>
          <w:p w:rsidR="00D80BC4" w:rsidRPr="00D80BC4" w:rsidRDefault="00D80BC4" w:rsidP="004E050E">
            <w:pPr>
              <w:keepNext/>
              <w:keepLines/>
              <w:spacing w:after="0" w:line="240" w:lineRule="auto"/>
              <w:jc w:val="both"/>
              <w:rPr>
                <w:rFonts w:ascii="Open Sans" w:hAnsi="Open Sans" w:cs="Open Sans"/>
                <w:sz w:val="20"/>
                <w:szCs w:val="20"/>
              </w:rPr>
            </w:pPr>
            <w:r w:rsidRPr="00D80BC4">
              <w:rPr>
                <w:rFonts w:ascii="Open Sans" w:hAnsi="Open Sans" w:cs="Open Sans"/>
                <w:sz w:val="20"/>
                <w:szCs w:val="20"/>
              </w:rPr>
              <w:t>c930_3</w:t>
            </w:r>
          </w:p>
        </w:tc>
        <w:tc>
          <w:tcPr>
            <w:tcW w:w="2977" w:type="dxa"/>
            <w:shd w:val="clear" w:color="auto" w:fill="auto"/>
            <w:tcMar>
              <w:top w:w="15" w:type="dxa"/>
              <w:left w:w="108" w:type="dxa"/>
              <w:bottom w:w="0" w:type="dxa"/>
              <w:right w:w="108" w:type="dxa"/>
            </w:tcMar>
            <w:vAlign w:val="center"/>
            <w:hideMark/>
          </w:tcPr>
          <w:p w:rsidR="00D80BC4" w:rsidRPr="00D80BC4" w:rsidRDefault="00D80BC4" w:rsidP="004E050E">
            <w:pPr>
              <w:keepNext/>
              <w:keepLines/>
              <w:spacing w:after="0" w:line="240" w:lineRule="auto"/>
              <w:jc w:val="right"/>
              <w:rPr>
                <w:rFonts w:ascii="Open Sans" w:hAnsi="Open Sans" w:cs="Open Sans"/>
                <w:sz w:val="20"/>
                <w:szCs w:val="20"/>
              </w:rPr>
            </w:pPr>
            <w:r w:rsidRPr="00D80BC4">
              <w:rPr>
                <w:rFonts w:ascii="Open Sans" w:hAnsi="Open Sans" w:cs="Open Sans"/>
                <w:sz w:val="20"/>
                <w:szCs w:val="20"/>
              </w:rPr>
              <w:t>294</w:t>
            </w:r>
          </w:p>
        </w:tc>
        <w:tc>
          <w:tcPr>
            <w:tcW w:w="3118" w:type="dxa"/>
            <w:shd w:val="clear" w:color="auto" w:fill="auto"/>
            <w:tcMar>
              <w:top w:w="15" w:type="dxa"/>
              <w:left w:w="108" w:type="dxa"/>
              <w:bottom w:w="0" w:type="dxa"/>
              <w:right w:w="108" w:type="dxa"/>
            </w:tcMar>
            <w:vAlign w:val="center"/>
            <w:hideMark/>
          </w:tcPr>
          <w:p w:rsidR="00D80BC4" w:rsidRPr="00D80BC4" w:rsidRDefault="00D80BC4" w:rsidP="005B7798">
            <w:pPr>
              <w:keepNext/>
              <w:keepLines/>
              <w:spacing w:after="0" w:line="240" w:lineRule="auto"/>
              <w:jc w:val="right"/>
              <w:rPr>
                <w:rFonts w:ascii="Open Sans" w:hAnsi="Open Sans" w:cs="Open Sans"/>
                <w:sz w:val="20"/>
                <w:szCs w:val="20"/>
              </w:rPr>
            </w:pPr>
            <w:r w:rsidRPr="00D80BC4">
              <w:rPr>
                <w:rFonts w:ascii="Open Sans" w:hAnsi="Open Sans" w:cs="Open Sans"/>
                <w:sz w:val="20"/>
                <w:szCs w:val="20"/>
              </w:rPr>
              <w:t>189,63</w:t>
            </w:r>
          </w:p>
        </w:tc>
      </w:tr>
      <w:tr w:rsidR="00275979" w:rsidRPr="00D80BC4" w:rsidTr="005B7798">
        <w:trPr>
          <w:cantSplit/>
        </w:trPr>
        <w:tc>
          <w:tcPr>
            <w:tcW w:w="250" w:type="dxa"/>
            <w:shd w:val="clear" w:color="auto" w:fill="F2F2F2" w:themeFill="background1" w:themeFillShade="F2"/>
          </w:tcPr>
          <w:p w:rsidR="00D80BC4" w:rsidRPr="00D80BC4" w:rsidRDefault="00D80BC4" w:rsidP="004E050E">
            <w:pPr>
              <w:keepNext/>
              <w:keepLines/>
              <w:spacing w:after="0" w:line="240" w:lineRule="auto"/>
              <w:jc w:val="both"/>
              <w:rPr>
                <w:rFonts w:ascii="Open Sans" w:hAnsi="Open Sans" w:cs="Open Sans"/>
                <w:sz w:val="20"/>
                <w:szCs w:val="20"/>
              </w:rPr>
            </w:pPr>
            <w:r>
              <w:rPr>
                <w:rFonts w:ascii="Open Sans" w:hAnsi="Open Sans" w:cs="Open Sans"/>
                <w:sz w:val="20"/>
                <w:szCs w:val="20"/>
              </w:rPr>
              <w:br/>
            </w:r>
          </w:p>
        </w:tc>
        <w:tc>
          <w:tcPr>
            <w:tcW w:w="1843" w:type="dxa"/>
            <w:shd w:val="clear" w:color="auto" w:fill="F2F2F2" w:themeFill="background1" w:themeFillShade="F2"/>
            <w:tcMar>
              <w:top w:w="15" w:type="dxa"/>
              <w:left w:w="108" w:type="dxa"/>
              <w:bottom w:w="0" w:type="dxa"/>
              <w:right w:w="108" w:type="dxa"/>
            </w:tcMar>
            <w:vAlign w:val="center"/>
            <w:hideMark/>
          </w:tcPr>
          <w:p w:rsidR="00D80BC4" w:rsidRPr="00D80BC4" w:rsidRDefault="00D80BC4" w:rsidP="004E050E">
            <w:pPr>
              <w:keepNext/>
              <w:keepLines/>
              <w:spacing w:after="0" w:line="240" w:lineRule="auto"/>
              <w:jc w:val="both"/>
              <w:rPr>
                <w:rFonts w:ascii="Open Sans" w:hAnsi="Open Sans" w:cs="Open Sans"/>
                <w:sz w:val="20"/>
                <w:szCs w:val="20"/>
              </w:rPr>
            </w:pPr>
            <w:r w:rsidRPr="00D80BC4">
              <w:rPr>
                <w:rFonts w:ascii="Open Sans" w:hAnsi="Open Sans" w:cs="Open Sans"/>
                <w:sz w:val="20"/>
                <w:szCs w:val="20"/>
              </w:rPr>
              <w:t>c295_4b</w:t>
            </w:r>
          </w:p>
        </w:tc>
        <w:tc>
          <w:tcPr>
            <w:tcW w:w="2977" w:type="dxa"/>
            <w:shd w:val="clear" w:color="auto" w:fill="F2F2F2" w:themeFill="background1" w:themeFillShade="F2"/>
            <w:tcMar>
              <w:top w:w="15" w:type="dxa"/>
              <w:left w:w="108" w:type="dxa"/>
              <w:bottom w:w="0" w:type="dxa"/>
              <w:right w:w="108" w:type="dxa"/>
            </w:tcMar>
            <w:vAlign w:val="center"/>
            <w:hideMark/>
          </w:tcPr>
          <w:p w:rsidR="00D80BC4" w:rsidRPr="00D80BC4" w:rsidRDefault="00D80BC4" w:rsidP="004E050E">
            <w:pPr>
              <w:keepNext/>
              <w:keepLines/>
              <w:spacing w:after="0" w:line="240" w:lineRule="auto"/>
              <w:jc w:val="right"/>
              <w:rPr>
                <w:rFonts w:ascii="Open Sans" w:hAnsi="Open Sans" w:cs="Open Sans"/>
                <w:sz w:val="20"/>
                <w:szCs w:val="20"/>
              </w:rPr>
            </w:pPr>
            <w:r w:rsidRPr="00D80BC4">
              <w:rPr>
                <w:rFonts w:ascii="Open Sans" w:hAnsi="Open Sans" w:cs="Open Sans"/>
                <w:sz w:val="20"/>
                <w:szCs w:val="20"/>
              </w:rPr>
              <w:t>769</w:t>
            </w:r>
          </w:p>
        </w:tc>
        <w:tc>
          <w:tcPr>
            <w:tcW w:w="3118" w:type="dxa"/>
            <w:shd w:val="clear" w:color="auto" w:fill="F2F2F2" w:themeFill="background1" w:themeFillShade="F2"/>
            <w:tcMar>
              <w:top w:w="15" w:type="dxa"/>
              <w:left w:w="108" w:type="dxa"/>
              <w:bottom w:w="0" w:type="dxa"/>
              <w:right w:w="108" w:type="dxa"/>
            </w:tcMar>
            <w:vAlign w:val="center"/>
            <w:hideMark/>
          </w:tcPr>
          <w:p w:rsidR="00D80BC4" w:rsidRPr="00D80BC4" w:rsidRDefault="00D80BC4" w:rsidP="005B7798">
            <w:pPr>
              <w:keepNext/>
              <w:keepLines/>
              <w:spacing w:after="0" w:line="240" w:lineRule="auto"/>
              <w:jc w:val="right"/>
              <w:rPr>
                <w:rFonts w:ascii="Open Sans" w:hAnsi="Open Sans" w:cs="Open Sans"/>
                <w:sz w:val="20"/>
                <w:szCs w:val="20"/>
              </w:rPr>
            </w:pPr>
            <w:r w:rsidRPr="00D80BC4">
              <w:rPr>
                <w:rFonts w:ascii="Open Sans" w:hAnsi="Open Sans" w:cs="Open Sans"/>
                <w:sz w:val="20"/>
                <w:szCs w:val="20"/>
              </w:rPr>
              <w:t>82,58</w:t>
            </w:r>
          </w:p>
        </w:tc>
      </w:tr>
      <w:tr w:rsidR="00D80BC4" w:rsidRPr="00D80BC4" w:rsidTr="005B7798">
        <w:trPr>
          <w:cantSplit/>
        </w:trPr>
        <w:tc>
          <w:tcPr>
            <w:tcW w:w="250" w:type="dxa"/>
          </w:tcPr>
          <w:p w:rsidR="00D80BC4" w:rsidRPr="00D80BC4" w:rsidRDefault="00D80BC4" w:rsidP="004E050E">
            <w:pPr>
              <w:keepNext/>
              <w:keepLines/>
              <w:spacing w:after="0" w:line="240" w:lineRule="auto"/>
              <w:jc w:val="both"/>
              <w:rPr>
                <w:rFonts w:ascii="Open Sans" w:hAnsi="Open Sans" w:cs="Open Sans"/>
                <w:sz w:val="20"/>
                <w:szCs w:val="20"/>
              </w:rPr>
            </w:pPr>
            <w:r>
              <w:rPr>
                <w:rFonts w:ascii="Open Sans" w:hAnsi="Open Sans" w:cs="Open Sans"/>
                <w:sz w:val="20"/>
                <w:szCs w:val="20"/>
              </w:rPr>
              <w:br/>
            </w:r>
          </w:p>
        </w:tc>
        <w:tc>
          <w:tcPr>
            <w:tcW w:w="1843" w:type="dxa"/>
            <w:shd w:val="clear" w:color="auto" w:fill="auto"/>
            <w:tcMar>
              <w:top w:w="15" w:type="dxa"/>
              <w:left w:w="108" w:type="dxa"/>
              <w:bottom w:w="0" w:type="dxa"/>
              <w:right w:w="108" w:type="dxa"/>
            </w:tcMar>
            <w:vAlign w:val="center"/>
            <w:hideMark/>
          </w:tcPr>
          <w:p w:rsidR="00D80BC4" w:rsidRPr="00D80BC4" w:rsidRDefault="00D80BC4" w:rsidP="004E050E">
            <w:pPr>
              <w:keepNext/>
              <w:keepLines/>
              <w:spacing w:after="0" w:line="240" w:lineRule="auto"/>
              <w:jc w:val="both"/>
              <w:rPr>
                <w:rFonts w:ascii="Open Sans" w:hAnsi="Open Sans" w:cs="Open Sans"/>
                <w:sz w:val="20"/>
                <w:szCs w:val="20"/>
              </w:rPr>
            </w:pPr>
            <w:r w:rsidRPr="00D80BC4">
              <w:rPr>
                <w:rFonts w:ascii="Open Sans" w:hAnsi="Open Sans" w:cs="Open Sans"/>
                <w:sz w:val="20"/>
                <w:szCs w:val="20"/>
              </w:rPr>
              <w:t>c484_2</w:t>
            </w:r>
          </w:p>
        </w:tc>
        <w:tc>
          <w:tcPr>
            <w:tcW w:w="2977" w:type="dxa"/>
            <w:shd w:val="clear" w:color="auto" w:fill="auto"/>
            <w:tcMar>
              <w:top w:w="15" w:type="dxa"/>
              <w:left w:w="108" w:type="dxa"/>
              <w:bottom w:w="0" w:type="dxa"/>
              <w:right w:w="108" w:type="dxa"/>
            </w:tcMar>
            <w:vAlign w:val="center"/>
            <w:hideMark/>
          </w:tcPr>
          <w:p w:rsidR="00D80BC4" w:rsidRPr="00D80BC4" w:rsidRDefault="00D80BC4" w:rsidP="004E050E">
            <w:pPr>
              <w:keepNext/>
              <w:keepLines/>
              <w:spacing w:after="0" w:line="240" w:lineRule="auto"/>
              <w:jc w:val="right"/>
              <w:rPr>
                <w:rFonts w:ascii="Open Sans" w:hAnsi="Open Sans" w:cs="Open Sans"/>
                <w:sz w:val="20"/>
                <w:szCs w:val="20"/>
              </w:rPr>
            </w:pPr>
            <w:r w:rsidRPr="00D80BC4">
              <w:rPr>
                <w:rFonts w:ascii="Open Sans" w:hAnsi="Open Sans" w:cs="Open Sans"/>
                <w:sz w:val="20"/>
                <w:szCs w:val="20"/>
              </w:rPr>
              <w:t>50</w:t>
            </w:r>
          </w:p>
        </w:tc>
        <w:tc>
          <w:tcPr>
            <w:tcW w:w="3118" w:type="dxa"/>
            <w:shd w:val="clear" w:color="auto" w:fill="auto"/>
            <w:tcMar>
              <w:top w:w="15" w:type="dxa"/>
              <w:left w:w="108" w:type="dxa"/>
              <w:bottom w:w="0" w:type="dxa"/>
              <w:right w:w="108" w:type="dxa"/>
            </w:tcMar>
            <w:vAlign w:val="center"/>
            <w:hideMark/>
          </w:tcPr>
          <w:p w:rsidR="00D80BC4" w:rsidRPr="00D80BC4" w:rsidRDefault="00D80BC4" w:rsidP="005B7798">
            <w:pPr>
              <w:keepNext/>
              <w:keepLines/>
              <w:spacing w:after="0" w:line="240" w:lineRule="auto"/>
              <w:jc w:val="right"/>
              <w:rPr>
                <w:rFonts w:ascii="Open Sans" w:hAnsi="Open Sans" w:cs="Open Sans"/>
                <w:sz w:val="20"/>
                <w:szCs w:val="20"/>
              </w:rPr>
            </w:pPr>
            <w:r w:rsidRPr="00D80BC4">
              <w:rPr>
                <w:rFonts w:ascii="Open Sans" w:hAnsi="Open Sans" w:cs="Open Sans"/>
                <w:sz w:val="20"/>
                <w:szCs w:val="20"/>
              </w:rPr>
              <w:t>4,22</w:t>
            </w:r>
          </w:p>
        </w:tc>
      </w:tr>
      <w:tr w:rsidR="00275979" w:rsidRPr="00D80BC4" w:rsidTr="005B7798">
        <w:trPr>
          <w:cantSplit/>
        </w:trPr>
        <w:tc>
          <w:tcPr>
            <w:tcW w:w="250" w:type="dxa"/>
            <w:shd w:val="clear" w:color="auto" w:fill="F2F2F2" w:themeFill="background1" w:themeFillShade="F2"/>
          </w:tcPr>
          <w:p w:rsidR="00D80BC4" w:rsidRPr="00D80BC4" w:rsidRDefault="00D80BC4" w:rsidP="004E050E">
            <w:pPr>
              <w:keepNext/>
              <w:keepLines/>
              <w:spacing w:after="0" w:line="240" w:lineRule="auto"/>
              <w:jc w:val="both"/>
              <w:rPr>
                <w:rFonts w:ascii="Open Sans" w:hAnsi="Open Sans" w:cs="Open Sans"/>
                <w:sz w:val="20"/>
                <w:szCs w:val="20"/>
              </w:rPr>
            </w:pPr>
            <w:r>
              <w:rPr>
                <w:rFonts w:ascii="Open Sans" w:hAnsi="Open Sans" w:cs="Open Sans"/>
                <w:sz w:val="20"/>
                <w:szCs w:val="20"/>
              </w:rPr>
              <w:br/>
            </w:r>
          </w:p>
        </w:tc>
        <w:tc>
          <w:tcPr>
            <w:tcW w:w="1843" w:type="dxa"/>
            <w:shd w:val="clear" w:color="auto" w:fill="F2F2F2" w:themeFill="background1" w:themeFillShade="F2"/>
            <w:tcMar>
              <w:top w:w="15" w:type="dxa"/>
              <w:left w:w="108" w:type="dxa"/>
              <w:bottom w:w="0" w:type="dxa"/>
              <w:right w:w="108" w:type="dxa"/>
            </w:tcMar>
            <w:vAlign w:val="center"/>
            <w:hideMark/>
          </w:tcPr>
          <w:p w:rsidR="00D80BC4" w:rsidRPr="00D80BC4" w:rsidRDefault="00D80BC4" w:rsidP="004E050E">
            <w:pPr>
              <w:keepNext/>
              <w:keepLines/>
              <w:spacing w:after="0" w:line="240" w:lineRule="auto"/>
              <w:jc w:val="both"/>
              <w:rPr>
                <w:rFonts w:ascii="Open Sans" w:hAnsi="Open Sans" w:cs="Open Sans"/>
                <w:sz w:val="20"/>
                <w:szCs w:val="20"/>
              </w:rPr>
            </w:pPr>
            <w:r w:rsidRPr="00D80BC4">
              <w:rPr>
                <w:rFonts w:ascii="Open Sans" w:hAnsi="Open Sans" w:cs="Open Sans"/>
                <w:sz w:val="20"/>
                <w:szCs w:val="20"/>
              </w:rPr>
              <w:t>c494_2</w:t>
            </w:r>
          </w:p>
        </w:tc>
        <w:tc>
          <w:tcPr>
            <w:tcW w:w="2977" w:type="dxa"/>
            <w:shd w:val="clear" w:color="auto" w:fill="F2F2F2" w:themeFill="background1" w:themeFillShade="F2"/>
            <w:tcMar>
              <w:top w:w="15" w:type="dxa"/>
              <w:left w:w="108" w:type="dxa"/>
              <w:bottom w:w="0" w:type="dxa"/>
              <w:right w:w="108" w:type="dxa"/>
            </w:tcMar>
            <w:vAlign w:val="center"/>
            <w:hideMark/>
          </w:tcPr>
          <w:p w:rsidR="00D80BC4" w:rsidRPr="00D80BC4" w:rsidRDefault="00D80BC4" w:rsidP="004E050E">
            <w:pPr>
              <w:keepNext/>
              <w:keepLines/>
              <w:spacing w:after="0" w:line="240" w:lineRule="auto"/>
              <w:jc w:val="right"/>
              <w:rPr>
                <w:rFonts w:ascii="Open Sans" w:hAnsi="Open Sans" w:cs="Open Sans"/>
                <w:sz w:val="20"/>
                <w:szCs w:val="20"/>
              </w:rPr>
            </w:pPr>
            <w:r w:rsidRPr="00D80BC4">
              <w:rPr>
                <w:rFonts w:ascii="Open Sans" w:hAnsi="Open Sans" w:cs="Open Sans"/>
                <w:sz w:val="20"/>
                <w:szCs w:val="20"/>
              </w:rPr>
              <w:t>2</w:t>
            </w:r>
          </w:p>
        </w:tc>
        <w:tc>
          <w:tcPr>
            <w:tcW w:w="3118" w:type="dxa"/>
            <w:shd w:val="clear" w:color="auto" w:fill="F2F2F2" w:themeFill="background1" w:themeFillShade="F2"/>
            <w:tcMar>
              <w:top w:w="15" w:type="dxa"/>
              <w:left w:w="108" w:type="dxa"/>
              <w:bottom w:w="0" w:type="dxa"/>
              <w:right w:w="108" w:type="dxa"/>
            </w:tcMar>
            <w:vAlign w:val="center"/>
            <w:hideMark/>
          </w:tcPr>
          <w:p w:rsidR="00D80BC4" w:rsidRPr="00D80BC4" w:rsidRDefault="00D80BC4" w:rsidP="005B7798">
            <w:pPr>
              <w:keepNext/>
              <w:keepLines/>
              <w:spacing w:after="0" w:line="240" w:lineRule="auto"/>
              <w:jc w:val="right"/>
              <w:rPr>
                <w:rFonts w:ascii="Open Sans" w:hAnsi="Open Sans" w:cs="Open Sans"/>
                <w:sz w:val="20"/>
                <w:szCs w:val="20"/>
              </w:rPr>
            </w:pPr>
            <w:r w:rsidRPr="00D80BC4">
              <w:rPr>
                <w:rFonts w:ascii="Open Sans" w:hAnsi="Open Sans" w:cs="Open Sans"/>
                <w:sz w:val="20"/>
                <w:szCs w:val="20"/>
              </w:rPr>
              <w:t>0,04</w:t>
            </w:r>
          </w:p>
        </w:tc>
      </w:tr>
    </w:tbl>
    <w:p w:rsidR="00D80BC4" w:rsidRDefault="00D80BC4" w:rsidP="00D80BC4">
      <w:pPr>
        <w:rPr>
          <w:rFonts w:ascii="Open Sans" w:hAnsi="Open Sans" w:cs="Open Sans"/>
          <w:sz w:val="20"/>
          <w:szCs w:val="20"/>
        </w:rPr>
      </w:pPr>
    </w:p>
    <w:p w:rsidR="00D80BC4" w:rsidRPr="00592246" w:rsidRDefault="00592246" w:rsidP="00E727A6">
      <w:pPr>
        <w:jc w:val="both"/>
        <w:rPr>
          <w:rFonts w:ascii="Open Sans" w:hAnsi="Open Sans" w:cs="Open Sans"/>
          <w:sz w:val="20"/>
          <w:szCs w:val="20"/>
          <w:lang w:val="en-GB"/>
        </w:rPr>
      </w:pPr>
      <w:r w:rsidRPr="00DB7AD0">
        <w:rPr>
          <w:rFonts w:ascii="Open Sans" w:hAnsi="Open Sans" w:cs="Open Sans"/>
          <w:sz w:val="20"/>
          <w:szCs w:val="20"/>
          <w:lang w:val="en-GB"/>
        </w:rPr>
        <w:t>The two scenarios found to cause the greatest damage were C525-19 and C526-20 (Figures 9 and 10). While both would affect Puerto de la Cruz, they differed in the location of the lava vents, which conditioned the area covered and the path of the lava flow.</w:t>
      </w:r>
    </w:p>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0"/>
        <w:gridCol w:w="4702"/>
      </w:tblGrid>
      <w:tr w:rsidR="00D80BC4" w:rsidRPr="00732120" w:rsidTr="00020DF2">
        <w:tc>
          <w:tcPr>
            <w:tcW w:w="4620" w:type="dxa"/>
          </w:tcPr>
          <w:p w:rsidR="00D80BC4" w:rsidRDefault="00D80BC4" w:rsidP="00D80BC4">
            <w:pPr>
              <w:rPr>
                <w:rFonts w:ascii="Open Sans" w:hAnsi="Open Sans" w:cs="Open Sans"/>
                <w:sz w:val="20"/>
                <w:szCs w:val="20"/>
              </w:rPr>
            </w:pPr>
            <w:r>
              <w:rPr>
                <w:rFonts w:ascii="Open Sans" w:hAnsi="Open Sans" w:cs="Open Sans"/>
                <w:noProof/>
                <w:sz w:val="20"/>
                <w:szCs w:val="20"/>
                <w:lang w:eastAsia="es-ES"/>
              </w:rPr>
              <w:drawing>
                <wp:inline distT="0" distB="0" distL="0" distR="0" wp14:anchorId="4EB553D4" wp14:editId="1D5DC0FD">
                  <wp:extent cx="2682815" cy="2179788"/>
                  <wp:effectExtent l="0" t="0" r="3810" b="0"/>
                  <wp:docPr id="2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a_9_GEOMEP.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684715" cy="2181332"/>
                          </a:xfrm>
                          <a:prstGeom prst="rect">
                            <a:avLst/>
                          </a:prstGeom>
                        </pic:spPr>
                      </pic:pic>
                    </a:graphicData>
                  </a:graphic>
                </wp:inline>
              </w:drawing>
            </w:r>
          </w:p>
          <w:p w:rsidR="00020DF2" w:rsidRDefault="00020DF2" w:rsidP="00D80BC4">
            <w:pPr>
              <w:rPr>
                <w:rFonts w:ascii="Open Sans" w:hAnsi="Open Sans" w:cs="Open Sans"/>
                <w:sz w:val="20"/>
                <w:szCs w:val="20"/>
              </w:rPr>
            </w:pPr>
          </w:p>
          <w:p w:rsidR="00A8362A" w:rsidRPr="00A8362A" w:rsidRDefault="00A8362A" w:rsidP="00A8362A">
            <w:pPr>
              <w:jc w:val="both"/>
              <w:rPr>
                <w:rFonts w:ascii="Open Sans" w:hAnsi="Open Sans" w:cs="Open Sans"/>
                <w:i/>
                <w:sz w:val="20"/>
                <w:szCs w:val="20"/>
                <w:lang w:val="en-GB"/>
              </w:rPr>
            </w:pPr>
            <w:r w:rsidRPr="00A8362A">
              <w:rPr>
                <w:rFonts w:ascii="Open Sans" w:hAnsi="Open Sans" w:cs="Open Sans"/>
                <w:i/>
                <w:sz w:val="20"/>
                <w:szCs w:val="20"/>
                <w:lang w:val="en-GB"/>
              </w:rPr>
              <w:t>Figure 9. Scenario C525-19, with the second most damaging lava flow</w:t>
            </w:r>
          </w:p>
          <w:p w:rsidR="00020DF2" w:rsidRPr="00A8362A" w:rsidRDefault="00020DF2" w:rsidP="00020DF2">
            <w:pPr>
              <w:rPr>
                <w:rFonts w:ascii="Open Sans" w:hAnsi="Open Sans" w:cs="Open Sans"/>
                <w:sz w:val="20"/>
                <w:szCs w:val="20"/>
                <w:lang w:val="en-GB"/>
              </w:rPr>
            </w:pPr>
          </w:p>
        </w:tc>
        <w:tc>
          <w:tcPr>
            <w:tcW w:w="4702" w:type="dxa"/>
          </w:tcPr>
          <w:p w:rsidR="00D80BC4" w:rsidRDefault="00D80BC4" w:rsidP="00D80BC4">
            <w:pPr>
              <w:rPr>
                <w:rFonts w:ascii="Open Sans" w:hAnsi="Open Sans" w:cs="Open Sans"/>
                <w:sz w:val="20"/>
                <w:szCs w:val="20"/>
              </w:rPr>
            </w:pPr>
            <w:r>
              <w:rPr>
                <w:rFonts w:ascii="Open Sans" w:hAnsi="Open Sans" w:cs="Open Sans"/>
                <w:noProof/>
                <w:sz w:val="20"/>
                <w:szCs w:val="20"/>
                <w:lang w:eastAsia="es-ES"/>
              </w:rPr>
              <w:drawing>
                <wp:inline distT="0" distB="0" distL="0" distR="0" wp14:anchorId="30C15CA3" wp14:editId="050BB1EF">
                  <wp:extent cx="2705376" cy="2198118"/>
                  <wp:effectExtent l="0" t="0" r="0" b="0"/>
                  <wp:docPr id="2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a_10_GEOMEP.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07878" cy="2200151"/>
                          </a:xfrm>
                          <a:prstGeom prst="rect">
                            <a:avLst/>
                          </a:prstGeom>
                        </pic:spPr>
                      </pic:pic>
                    </a:graphicData>
                  </a:graphic>
                </wp:inline>
              </w:drawing>
            </w:r>
          </w:p>
          <w:p w:rsidR="00020DF2" w:rsidRDefault="00020DF2" w:rsidP="00D80BC4">
            <w:pPr>
              <w:rPr>
                <w:rFonts w:ascii="Open Sans" w:hAnsi="Open Sans" w:cs="Open Sans"/>
                <w:sz w:val="20"/>
                <w:szCs w:val="20"/>
              </w:rPr>
            </w:pPr>
          </w:p>
          <w:p w:rsidR="00A8362A" w:rsidRPr="00A8362A" w:rsidRDefault="00A8362A" w:rsidP="00A8362A">
            <w:pPr>
              <w:jc w:val="both"/>
              <w:rPr>
                <w:rFonts w:ascii="Open Sans" w:hAnsi="Open Sans" w:cs="Open Sans"/>
                <w:i/>
                <w:sz w:val="20"/>
                <w:szCs w:val="20"/>
                <w:lang w:val="en-GB"/>
              </w:rPr>
            </w:pPr>
            <w:r w:rsidRPr="00A8362A">
              <w:rPr>
                <w:rFonts w:ascii="Open Sans" w:hAnsi="Open Sans" w:cs="Open Sans"/>
                <w:i/>
                <w:sz w:val="20"/>
                <w:szCs w:val="20"/>
                <w:lang w:val="en-GB"/>
              </w:rPr>
              <w:t>Figure 10. Scenario C526-20, with the most damaging lava flow</w:t>
            </w:r>
          </w:p>
          <w:p w:rsidR="00020DF2" w:rsidRPr="00E727A6" w:rsidRDefault="00020DF2" w:rsidP="00020DF2">
            <w:pPr>
              <w:rPr>
                <w:rFonts w:ascii="Open Sans" w:hAnsi="Open Sans" w:cs="Open Sans"/>
                <w:i/>
                <w:sz w:val="20"/>
                <w:szCs w:val="20"/>
                <w:lang w:val="en-US"/>
              </w:rPr>
            </w:pPr>
          </w:p>
        </w:tc>
      </w:tr>
    </w:tbl>
    <w:p w:rsidR="00020DF2" w:rsidRDefault="00020DF2" w:rsidP="00D80BC4">
      <w:pPr>
        <w:rPr>
          <w:rFonts w:ascii="Open Sans" w:hAnsi="Open Sans" w:cs="Open Sans"/>
          <w:sz w:val="20"/>
          <w:szCs w:val="20"/>
        </w:rPr>
      </w:pPr>
      <w:r>
        <w:rPr>
          <w:rFonts w:ascii="Open Sans" w:hAnsi="Open Sans" w:cs="Open Sans"/>
          <w:noProof/>
          <w:sz w:val="20"/>
          <w:szCs w:val="20"/>
          <w:lang w:eastAsia="es-ES"/>
        </w:rPr>
        <w:drawing>
          <wp:inline distT="0" distB="0" distL="0" distR="0">
            <wp:extent cx="5400040" cy="18415"/>
            <wp:effectExtent l="0" t="0" r="0" b="635"/>
            <wp:docPr id="3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parador.png"/>
                    <pic:cNvPicPr/>
                  </pic:nvPicPr>
                  <pic:blipFill>
                    <a:blip r:embed="rId9">
                      <a:extLst>
                        <a:ext uri="{28A0092B-C50C-407E-A947-70E740481C1C}">
                          <a14:useLocalDpi xmlns:a14="http://schemas.microsoft.com/office/drawing/2010/main" val="0"/>
                        </a:ext>
                      </a:extLst>
                    </a:blip>
                    <a:stretch>
                      <a:fillRect/>
                    </a:stretch>
                  </pic:blipFill>
                  <pic:spPr>
                    <a:xfrm>
                      <a:off x="0" y="0"/>
                      <a:ext cx="5400040" cy="18415"/>
                    </a:xfrm>
                    <a:prstGeom prst="rect">
                      <a:avLst/>
                    </a:prstGeom>
                  </pic:spPr>
                </pic:pic>
              </a:graphicData>
            </a:graphic>
          </wp:inline>
        </w:drawing>
      </w:r>
    </w:p>
    <w:p w:rsidR="00020DF2" w:rsidRPr="00020DF2" w:rsidRDefault="00020DF2" w:rsidP="00D80BC4">
      <w:pPr>
        <w:rPr>
          <w:rFonts w:ascii="Open Sans" w:hAnsi="Open Sans" w:cs="Open Sans"/>
          <w:color w:val="A70B2C"/>
          <w:sz w:val="28"/>
          <w:szCs w:val="28"/>
        </w:rPr>
      </w:pPr>
      <w:proofErr w:type="spellStart"/>
      <w:r w:rsidRPr="00020DF2">
        <w:rPr>
          <w:rFonts w:ascii="Open Sans" w:hAnsi="Open Sans" w:cs="Open Sans"/>
          <w:color w:val="A70B2C"/>
          <w:sz w:val="28"/>
          <w:szCs w:val="28"/>
        </w:rPr>
        <w:lastRenderedPageBreak/>
        <w:t>Co</w:t>
      </w:r>
      <w:r w:rsidR="00A8362A">
        <w:rPr>
          <w:rFonts w:ascii="Open Sans" w:hAnsi="Open Sans" w:cs="Open Sans"/>
          <w:color w:val="A70B2C"/>
          <w:sz w:val="28"/>
          <w:szCs w:val="28"/>
        </w:rPr>
        <w:t>nclusions</w:t>
      </w:r>
      <w:proofErr w:type="spellEnd"/>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70B2C"/>
        <w:tblLook w:val="04A0" w:firstRow="1" w:lastRow="0" w:firstColumn="1" w:lastColumn="0" w:noHBand="0" w:noVBand="1"/>
      </w:tblPr>
      <w:tblGrid>
        <w:gridCol w:w="8644"/>
      </w:tblGrid>
      <w:tr w:rsidR="00020DF2" w:rsidRPr="00732120" w:rsidTr="00020DF2">
        <w:tc>
          <w:tcPr>
            <w:tcW w:w="8644" w:type="dxa"/>
            <w:shd w:val="clear" w:color="auto" w:fill="A70B2C"/>
          </w:tcPr>
          <w:p w:rsidR="00020DF2" w:rsidRPr="00A8362A" w:rsidRDefault="00020DF2" w:rsidP="00020DF2">
            <w:pPr>
              <w:rPr>
                <w:rFonts w:ascii="Open Sans" w:hAnsi="Open Sans" w:cs="Open Sans"/>
                <w:color w:val="FFFFFF" w:themeColor="background1"/>
                <w:sz w:val="20"/>
                <w:szCs w:val="20"/>
                <w:lang w:val="en-US"/>
              </w:rPr>
            </w:pPr>
          </w:p>
          <w:p w:rsidR="00A8362A" w:rsidRDefault="00A8362A" w:rsidP="00A8362A">
            <w:pPr>
              <w:ind w:left="142" w:right="206"/>
              <w:jc w:val="both"/>
              <w:rPr>
                <w:rFonts w:ascii="Open Sans" w:hAnsi="Open Sans" w:cs="Open Sans"/>
                <w:color w:val="FFFFFF" w:themeColor="background1"/>
                <w:sz w:val="20"/>
                <w:szCs w:val="20"/>
                <w:lang w:val="en-GB"/>
              </w:rPr>
            </w:pPr>
            <w:r w:rsidRPr="00A8362A">
              <w:rPr>
                <w:rFonts w:ascii="Open Sans" w:hAnsi="Open Sans" w:cs="Open Sans"/>
                <w:color w:val="FFFFFF" w:themeColor="background1"/>
                <w:sz w:val="20"/>
                <w:szCs w:val="20"/>
                <w:lang w:val="en-GB"/>
              </w:rPr>
              <w:t xml:space="preserve">While the present study was limited by a lack of data of sufficient quality, it constitutes an initial store of useful information from which the CCS can estimate the resources that need to be provisioned. Moreover, the model developed is applicable to any other area of the country, inasmuch as it draws from readily available sources of information and because the methods applied are widely known and used. </w:t>
            </w:r>
          </w:p>
          <w:p w:rsidR="00A8362A" w:rsidRPr="00A8362A" w:rsidRDefault="00A8362A" w:rsidP="00A8362A">
            <w:pPr>
              <w:ind w:left="142" w:right="206"/>
              <w:jc w:val="both"/>
              <w:rPr>
                <w:rFonts w:ascii="Open Sans" w:hAnsi="Open Sans" w:cs="Open Sans"/>
                <w:color w:val="FFFFFF" w:themeColor="background1"/>
                <w:sz w:val="20"/>
                <w:szCs w:val="20"/>
                <w:lang w:val="en-GB"/>
              </w:rPr>
            </w:pPr>
          </w:p>
          <w:p w:rsidR="00A8362A" w:rsidRDefault="00A8362A" w:rsidP="00A8362A">
            <w:pPr>
              <w:ind w:left="142" w:right="206"/>
              <w:jc w:val="both"/>
              <w:rPr>
                <w:rFonts w:ascii="Open Sans" w:hAnsi="Open Sans" w:cs="Open Sans"/>
                <w:color w:val="FFFFFF" w:themeColor="background1"/>
                <w:sz w:val="20"/>
                <w:szCs w:val="20"/>
                <w:lang w:val="en-GB"/>
              </w:rPr>
            </w:pPr>
            <w:r w:rsidRPr="00A8362A">
              <w:rPr>
                <w:rFonts w:ascii="Open Sans" w:hAnsi="Open Sans" w:cs="Open Sans"/>
                <w:color w:val="FFFFFF" w:themeColor="background1"/>
                <w:sz w:val="20"/>
                <w:szCs w:val="20"/>
                <w:lang w:val="en-GB"/>
              </w:rPr>
              <w:t>The cadastre database is as relevant a source of information for risk studies as digital elevation models, for it yields uniform and impartial estimates. Moreover, it can be used to calculate key risk component parameters.</w:t>
            </w:r>
          </w:p>
          <w:p w:rsidR="00A8362A" w:rsidRPr="00A8362A" w:rsidRDefault="00A8362A" w:rsidP="00A8362A">
            <w:pPr>
              <w:ind w:left="142" w:right="206"/>
              <w:jc w:val="both"/>
              <w:rPr>
                <w:rFonts w:ascii="Open Sans" w:hAnsi="Open Sans" w:cs="Open Sans"/>
                <w:color w:val="FFFFFF" w:themeColor="background1"/>
                <w:sz w:val="20"/>
                <w:szCs w:val="20"/>
                <w:lang w:val="en-GB"/>
              </w:rPr>
            </w:pPr>
          </w:p>
          <w:p w:rsidR="00A8362A" w:rsidRDefault="00A8362A" w:rsidP="00A8362A">
            <w:pPr>
              <w:ind w:left="142" w:right="206"/>
              <w:jc w:val="both"/>
              <w:rPr>
                <w:rFonts w:ascii="Open Sans" w:hAnsi="Open Sans" w:cs="Open Sans"/>
                <w:color w:val="FFFFFF" w:themeColor="background1"/>
                <w:sz w:val="20"/>
                <w:szCs w:val="20"/>
                <w:lang w:val="en-GB"/>
              </w:rPr>
            </w:pPr>
            <w:r w:rsidRPr="00A8362A">
              <w:rPr>
                <w:rFonts w:ascii="Open Sans" w:hAnsi="Open Sans" w:cs="Open Sans"/>
                <w:color w:val="FFFFFF" w:themeColor="background1"/>
                <w:sz w:val="20"/>
                <w:szCs w:val="20"/>
                <w:lang w:val="en-GB"/>
              </w:rPr>
              <w:t>The flood and earthquake risk assessments performed in this study should be understood to be central or mid-range figures, given the aforementioned limitations.</w:t>
            </w:r>
          </w:p>
          <w:p w:rsidR="00A8362A" w:rsidRPr="00A8362A" w:rsidRDefault="00A8362A" w:rsidP="00A8362A">
            <w:pPr>
              <w:ind w:left="142" w:right="206"/>
              <w:jc w:val="both"/>
              <w:rPr>
                <w:rFonts w:ascii="Open Sans" w:hAnsi="Open Sans" w:cs="Open Sans"/>
                <w:color w:val="FFFFFF" w:themeColor="background1"/>
                <w:sz w:val="20"/>
                <w:szCs w:val="20"/>
                <w:lang w:val="en-GB"/>
              </w:rPr>
            </w:pPr>
          </w:p>
          <w:p w:rsidR="00A8362A" w:rsidRPr="00A8362A" w:rsidRDefault="00A8362A" w:rsidP="00A8362A">
            <w:pPr>
              <w:ind w:left="142" w:right="206"/>
              <w:jc w:val="both"/>
              <w:rPr>
                <w:rFonts w:ascii="Open Sans" w:hAnsi="Open Sans" w:cs="Open Sans"/>
                <w:color w:val="FFFFFF" w:themeColor="background1"/>
                <w:sz w:val="20"/>
                <w:szCs w:val="20"/>
                <w:lang w:val="en-GB"/>
              </w:rPr>
            </w:pPr>
            <w:r w:rsidRPr="00A8362A">
              <w:rPr>
                <w:rFonts w:ascii="Open Sans" w:hAnsi="Open Sans" w:cs="Open Sans"/>
                <w:color w:val="FFFFFF" w:themeColor="background1"/>
                <w:sz w:val="20"/>
                <w:szCs w:val="20"/>
                <w:lang w:val="en-GB"/>
              </w:rPr>
              <w:t xml:space="preserve">The lack of data and the difficulty of interpreting the information available are the most prominent features of the calculations performed to determine volcanic hazard, which are consequently even more uncertain than in </w:t>
            </w:r>
            <w:proofErr w:type="spellStart"/>
            <w:r w:rsidRPr="00A8362A">
              <w:rPr>
                <w:rFonts w:ascii="Open Sans" w:hAnsi="Open Sans" w:cs="Open Sans"/>
                <w:color w:val="FFFFFF" w:themeColor="background1"/>
                <w:sz w:val="20"/>
                <w:szCs w:val="20"/>
                <w:lang w:val="en-GB"/>
              </w:rPr>
              <w:t>flodding</w:t>
            </w:r>
            <w:proofErr w:type="spellEnd"/>
            <w:r w:rsidRPr="00A8362A">
              <w:rPr>
                <w:rFonts w:ascii="Open Sans" w:hAnsi="Open Sans" w:cs="Open Sans"/>
                <w:color w:val="FFFFFF" w:themeColor="background1"/>
                <w:sz w:val="20"/>
                <w:szCs w:val="20"/>
                <w:lang w:val="en-GB"/>
              </w:rPr>
              <w:t xml:space="preserve"> and earthquakes. In any event, they should be viewed as minimum values, for volcanic episodes may induce other processes whose hazard is not assessed hereunder.</w:t>
            </w:r>
          </w:p>
          <w:p w:rsidR="00020DF2" w:rsidRPr="00A8362A" w:rsidRDefault="00020DF2" w:rsidP="0018369F">
            <w:pPr>
              <w:ind w:left="142" w:right="64"/>
              <w:jc w:val="both"/>
              <w:rPr>
                <w:rFonts w:ascii="Open Sans" w:hAnsi="Open Sans" w:cs="Open Sans"/>
                <w:color w:val="FFFFFF" w:themeColor="background1"/>
                <w:sz w:val="20"/>
                <w:szCs w:val="20"/>
                <w:lang w:val="en-GB"/>
              </w:rPr>
            </w:pPr>
          </w:p>
          <w:p w:rsidR="00020DF2" w:rsidRPr="00A8362A" w:rsidRDefault="00020DF2" w:rsidP="00020DF2">
            <w:pPr>
              <w:rPr>
                <w:rFonts w:ascii="Open Sans" w:hAnsi="Open Sans" w:cs="Open Sans"/>
                <w:color w:val="FFFFFF" w:themeColor="background1"/>
                <w:sz w:val="20"/>
                <w:szCs w:val="20"/>
                <w:lang w:val="en-US"/>
              </w:rPr>
            </w:pPr>
          </w:p>
        </w:tc>
      </w:tr>
    </w:tbl>
    <w:p w:rsidR="001A3FC6" w:rsidRDefault="001A3FC6" w:rsidP="00D80BC4">
      <w:pPr>
        <w:rPr>
          <w:rFonts w:ascii="Open Sans" w:hAnsi="Open Sans" w:cs="Open Sans"/>
          <w:color w:val="A70B2C"/>
          <w:sz w:val="32"/>
          <w:szCs w:val="32"/>
          <w:lang w:val="en-US"/>
        </w:rPr>
      </w:pPr>
    </w:p>
    <w:p w:rsidR="005A2C0B" w:rsidRPr="001A3FC6" w:rsidRDefault="005A2C0B" w:rsidP="00D80BC4">
      <w:pPr>
        <w:rPr>
          <w:rFonts w:ascii="Open Sans" w:hAnsi="Open Sans" w:cs="Open Sans"/>
          <w:color w:val="A70B2C"/>
          <w:sz w:val="32"/>
          <w:szCs w:val="32"/>
          <w:lang w:val="en-US"/>
        </w:rPr>
      </w:pPr>
      <w:r w:rsidRPr="005A2C0B">
        <w:rPr>
          <w:rFonts w:ascii="Open Sans" w:hAnsi="Open Sans" w:cs="Open Sans"/>
          <w:color w:val="A70B2C"/>
          <w:sz w:val="32"/>
          <w:szCs w:val="32"/>
          <w:lang w:val="en-US"/>
        </w:rPr>
        <w:t>NOTES</w:t>
      </w:r>
    </w:p>
    <w:p w:rsidR="005A2C0B" w:rsidRPr="005A2C0B" w:rsidRDefault="005A2C0B" w:rsidP="005A2C0B">
      <w:pPr>
        <w:pStyle w:val="ListParagraph"/>
        <w:numPr>
          <w:ilvl w:val="0"/>
          <w:numId w:val="9"/>
        </w:numPr>
        <w:jc w:val="both"/>
        <w:rPr>
          <w:rFonts w:ascii="Open Sans" w:hAnsi="Open Sans" w:cs="Open Sans"/>
          <w:i/>
          <w:sz w:val="18"/>
          <w:szCs w:val="18"/>
          <w:lang w:val="en-US"/>
        </w:rPr>
      </w:pPr>
      <w:proofErr w:type="spellStart"/>
      <w:r w:rsidRPr="005A2C0B">
        <w:rPr>
          <w:rFonts w:ascii="Open Sans" w:hAnsi="Open Sans" w:cs="Open Sans"/>
          <w:i/>
          <w:sz w:val="18"/>
          <w:szCs w:val="18"/>
          <w:lang w:val="en-GB"/>
        </w:rPr>
        <w:t>GeoMEP</w:t>
      </w:r>
      <w:proofErr w:type="spellEnd"/>
      <w:r w:rsidRPr="005A2C0B">
        <w:rPr>
          <w:rFonts w:ascii="Open Sans" w:hAnsi="Open Sans" w:cs="Open Sans"/>
          <w:i/>
          <w:sz w:val="18"/>
          <w:szCs w:val="18"/>
          <w:lang w:val="en-GB"/>
        </w:rPr>
        <w:t>, a method developed under the namesake project, is designed to assess geological hazard-induced loss. The pilot can be used to study risks in other regions of Spain.</w:t>
      </w:r>
    </w:p>
    <w:p w:rsidR="005A2C0B" w:rsidRPr="005A2C0B" w:rsidRDefault="005A2C0B" w:rsidP="005A2C0B">
      <w:pPr>
        <w:pStyle w:val="ListParagraph"/>
        <w:numPr>
          <w:ilvl w:val="0"/>
          <w:numId w:val="9"/>
        </w:numPr>
        <w:jc w:val="both"/>
        <w:rPr>
          <w:rFonts w:ascii="Open Sans" w:hAnsi="Open Sans" w:cs="Open Sans"/>
          <w:sz w:val="18"/>
          <w:szCs w:val="18"/>
          <w:lang w:val="en-US"/>
        </w:rPr>
      </w:pPr>
      <w:r w:rsidRPr="005A2C0B">
        <w:rPr>
          <w:rFonts w:ascii="Open Sans" w:hAnsi="Open Sans" w:cs="Open Sans"/>
          <w:i/>
          <w:sz w:val="18"/>
          <w:szCs w:val="18"/>
          <w:lang w:val="en-GB"/>
        </w:rPr>
        <w:t>The so-called “desk effect” consists of the peak damage detected when floodwater reaches a depth equivalent to the height of desks, tables or countertop</w:t>
      </w:r>
      <w:bookmarkStart w:id="0" w:name="_GoBack"/>
      <w:bookmarkEnd w:id="0"/>
      <w:r w:rsidRPr="005A2C0B">
        <w:rPr>
          <w:rFonts w:ascii="Open Sans" w:hAnsi="Open Sans" w:cs="Open Sans"/>
          <w:i/>
          <w:sz w:val="18"/>
          <w:szCs w:val="18"/>
          <w:lang w:val="en-GB"/>
        </w:rPr>
        <w:t>s holding household appliances and goods.</w:t>
      </w:r>
    </w:p>
    <w:p w:rsidR="005A2C0B" w:rsidRPr="005A2C0B" w:rsidRDefault="005A2C0B" w:rsidP="005A2C0B">
      <w:pPr>
        <w:pStyle w:val="ListParagraph"/>
        <w:numPr>
          <w:ilvl w:val="0"/>
          <w:numId w:val="9"/>
        </w:numPr>
        <w:jc w:val="both"/>
        <w:rPr>
          <w:rFonts w:ascii="Open Sans" w:hAnsi="Open Sans" w:cs="Open Sans"/>
          <w:sz w:val="18"/>
          <w:szCs w:val="18"/>
          <w:lang w:val="en-US"/>
        </w:rPr>
      </w:pPr>
      <w:r w:rsidRPr="005A2C0B">
        <w:rPr>
          <w:rFonts w:ascii="Open Sans" w:hAnsi="Open Sans" w:cs="Open Sans"/>
          <w:i/>
          <w:sz w:val="18"/>
          <w:szCs w:val="18"/>
          <w:lang w:val="en-GB"/>
        </w:rPr>
        <w:t>The standard way of expressing the likelihood of a natural event is its average occurrence over a number of years, known as the return period. An event that occurs on average once every 100 years has a 100</w:t>
      </w:r>
      <w:r w:rsidRPr="005A2C0B">
        <w:rPr>
          <w:rFonts w:ascii="Open Sans" w:hAnsi="Open Sans" w:cs="Open Sans"/>
          <w:i/>
          <w:sz w:val="18"/>
          <w:szCs w:val="18"/>
          <w:lang w:val="en-GB"/>
        </w:rPr>
        <w:noBreakHyphen/>
        <w:t>year return period, tantamount to a 1 % yearly or a 0.01 absolute likelihood. In Spain, events with 500</w:t>
      </w:r>
      <w:r w:rsidRPr="005A2C0B">
        <w:rPr>
          <w:rFonts w:ascii="Open Sans" w:hAnsi="Open Sans" w:cs="Open Sans"/>
          <w:i/>
          <w:sz w:val="18"/>
          <w:szCs w:val="18"/>
          <w:lang w:val="en-GB"/>
        </w:rPr>
        <w:noBreakHyphen/>
        <w:t>year return periods or greater, i.e., with absolute likelihoods of 0.002 or yearly likelihoods of 0.2 % or under, are regarded as extraordinary, although that does not preclude the consecutive occurrence of several such events.</w:t>
      </w:r>
    </w:p>
    <w:p w:rsidR="005A2C0B" w:rsidRPr="005A2C0B" w:rsidRDefault="005A2C0B" w:rsidP="005A2C0B">
      <w:pPr>
        <w:pStyle w:val="ListParagraph"/>
        <w:numPr>
          <w:ilvl w:val="0"/>
          <w:numId w:val="9"/>
        </w:numPr>
        <w:jc w:val="both"/>
        <w:rPr>
          <w:rFonts w:ascii="Open Sans" w:hAnsi="Open Sans" w:cs="Open Sans"/>
          <w:sz w:val="18"/>
          <w:szCs w:val="18"/>
          <w:lang w:val="en-US"/>
        </w:rPr>
      </w:pPr>
      <w:r w:rsidRPr="005A2C0B">
        <w:rPr>
          <w:rFonts w:ascii="Open Sans" w:hAnsi="Open Sans" w:cs="Open Sans"/>
          <w:i/>
          <w:sz w:val="18"/>
          <w:szCs w:val="18"/>
          <w:lang w:val="en-GB"/>
        </w:rPr>
        <w:t>Seismicity is the propagation of an elastic wave across materials which, when it reaches the surface, may be perceived as ground vibration. It may be natural (as in earthquakes) or artificial (as generated by a heavy vehicle travelling at some speed). Natural causes include volcanic eruptions, meteorite impacts, ground motion and tectonic stress.</w:t>
      </w:r>
    </w:p>
    <w:p w:rsidR="005A2C0B" w:rsidRPr="001A3FC6" w:rsidRDefault="005A2C0B" w:rsidP="005A2C0B">
      <w:pPr>
        <w:pStyle w:val="ListParagraph"/>
        <w:numPr>
          <w:ilvl w:val="0"/>
          <w:numId w:val="9"/>
        </w:numPr>
        <w:jc w:val="both"/>
        <w:rPr>
          <w:rFonts w:ascii="Open Sans" w:hAnsi="Open Sans" w:cs="Open Sans"/>
          <w:sz w:val="18"/>
          <w:szCs w:val="18"/>
          <w:lang w:val="en-US"/>
        </w:rPr>
      </w:pPr>
      <w:r w:rsidRPr="005A2C0B">
        <w:rPr>
          <w:rFonts w:ascii="Open Sans" w:hAnsi="Open Sans" w:cs="Open Sans"/>
          <w:i/>
          <w:sz w:val="18"/>
          <w:szCs w:val="18"/>
          <w:lang w:val="en-GB"/>
        </w:rPr>
        <w:t xml:space="preserve">Intensity was calculated from peak ground acceleration and expressed as per the 1998 European </w:t>
      </w:r>
      <w:proofErr w:type="spellStart"/>
      <w:r w:rsidRPr="005A2C0B">
        <w:rPr>
          <w:rFonts w:ascii="Open Sans" w:hAnsi="Open Sans" w:cs="Open Sans"/>
          <w:i/>
          <w:sz w:val="18"/>
          <w:szCs w:val="18"/>
          <w:lang w:val="en-GB"/>
        </w:rPr>
        <w:t>Macroseismic</w:t>
      </w:r>
      <w:proofErr w:type="spellEnd"/>
      <w:r w:rsidRPr="005A2C0B">
        <w:rPr>
          <w:rFonts w:ascii="Open Sans" w:hAnsi="Open Sans" w:cs="Open Sans"/>
          <w:i/>
          <w:sz w:val="18"/>
          <w:szCs w:val="18"/>
          <w:lang w:val="en-GB"/>
        </w:rPr>
        <w:t xml:space="preserve"> Scale. Ground acceleration is one way to assess the effect of earthquakes. Others include quake duration and wave amplitude and frequency.</w:t>
      </w:r>
    </w:p>
    <w:p w:rsidR="001A3FC6" w:rsidRPr="001A3FC6" w:rsidRDefault="001A3FC6" w:rsidP="005A2C0B">
      <w:pPr>
        <w:pStyle w:val="ListParagraph"/>
        <w:numPr>
          <w:ilvl w:val="0"/>
          <w:numId w:val="9"/>
        </w:numPr>
        <w:jc w:val="both"/>
        <w:rPr>
          <w:rFonts w:ascii="Open Sans" w:hAnsi="Open Sans" w:cs="Open Sans"/>
          <w:i/>
          <w:sz w:val="18"/>
          <w:szCs w:val="18"/>
          <w:lang w:val="en-US"/>
        </w:rPr>
      </w:pPr>
      <w:r w:rsidRPr="001A3FC6">
        <w:rPr>
          <w:rFonts w:ascii="Open Sans" w:hAnsi="Open Sans" w:cs="Open Sans"/>
          <w:i/>
          <w:sz w:val="18"/>
          <w:szCs w:val="18"/>
          <w:lang w:val="en-GB"/>
        </w:rPr>
        <w:t>The Canary archipelago has no rivers that carry water year-round. The beds are dry most of the time, bearing water and sediments only during intense rainfall.</w:t>
      </w:r>
    </w:p>
    <w:sectPr w:rsidR="001A3FC6" w:rsidRPr="001A3FC6" w:rsidSect="00A75455">
      <w:headerReference w:type="default" r:id="rId21"/>
      <w:footerReference w:type="default" r:id="rId22"/>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715FF" w:rsidRDefault="00A715FF" w:rsidP="009B7A29">
      <w:pPr>
        <w:spacing w:after="0" w:line="240" w:lineRule="auto"/>
      </w:pPr>
      <w:r>
        <w:separator/>
      </w:r>
    </w:p>
  </w:endnote>
  <w:endnote w:type="continuationSeparator" w:id="0">
    <w:p w:rsidR="00A715FF" w:rsidRDefault="00A715FF" w:rsidP="009B7A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Open Sans">
    <w:panose1 w:val="020B0606030504020204"/>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9"/>
      <w:gridCol w:w="7685"/>
    </w:tblGrid>
    <w:tr w:rsidR="00C86701" w:rsidRPr="00732120" w:rsidTr="000B2EE5">
      <w:tc>
        <w:tcPr>
          <w:tcW w:w="959" w:type="dxa"/>
        </w:tcPr>
        <w:p w:rsidR="00C86701" w:rsidRPr="00DB1780" w:rsidRDefault="00C86701">
          <w:pPr>
            <w:pStyle w:val="Footer"/>
            <w:rPr>
              <w:rFonts w:ascii="Open Sans" w:hAnsi="Open Sans" w:cs="Open Sans"/>
              <w:sz w:val="16"/>
              <w:szCs w:val="16"/>
            </w:rPr>
          </w:pPr>
          <w:r w:rsidRPr="00DB1780">
            <w:rPr>
              <w:rFonts w:ascii="Open Sans" w:hAnsi="Open Sans" w:cs="Open Sans"/>
              <w:color w:val="808080" w:themeColor="background1" w:themeShade="80"/>
              <w:sz w:val="16"/>
              <w:szCs w:val="16"/>
            </w:rPr>
            <w:t xml:space="preserve"> </w:t>
          </w:r>
          <w:r w:rsidRPr="00DB1780">
            <w:rPr>
              <w:rFonts w:ascii="Open Sans" w:eastAsiaTheme="majorEastAsia" w:hAnsi="Open Sans" w:cs="Open Sans"/>
              <w:color w:val="808080" w:themeColor="background1" w:themeShade="80"/>
              <w:sz w:val="16"/>
              <w:szCs w:val="16"/>
            </w:rPr>
            <w:t xml:space="preserve">pág. </w:t>
          </w:r>
          <w:r w:rsidRPr="00DB1780">
            <w:rPr>
              <w:rFonts w:ascii="Open Sans" w:eastAsiaTheme="minorEastAsia" w:hAnsi="Open Sans" w:cs="Open Sans"/>
              <w:color w:val="808080" w:themeColor="background1" w:themeShade="80"/>
              <w:sz w:val="16"/>
              <w:szCs w:val="16"/>
            </w:rPr>
            <w:fldChar w:fldCharType="begin"/>
          </w:r>
          <w:r w:rsidRPr="00DB1780">
            <w:rPr>
              <w:rFonts w:ascii="Open Sans" w:hAnsi="Open Sans" w:cs="Open Sans"/>
              <w:color w:val="808080" w:themeColor="background1" w:themeShade="80"/>
              <w:sz w:val="16"/>
              <w:szCs w:val="16"/>
            </w:rPr>
            <w:instrText>PAGE    \* MERGEFORMAT</w:instrText>
          </w:r>
          <w:r w:rsidRPr="00DB1780">
            <w:rPr>
              <w:rFonts w:ascii="Open Sans" w:eastAsiaTheme="minorEastAsia" w:hAnsi="Open Sans" w:cs="Open Sans"/>
              <w:color w:val="808080" w:themeColor="background1" w:themeShade="80"/>
              <w:sz w:val="16"/>
              <w:szCs w:val="16"/>
            </w:rPr>
            <w:fldChar w:fldCharType="separate"/>
          </w:r>
          <w:r w:rsidR="00732120" w:rsidRPr="00732120">
            <w:rPr>
              <w:rFonts w:ascii="Open Sans" w:eastAsiaTheme="majorEastAsia" w:hAnsi="Open Sans" w:cs="Open Sans"/>
              <w:noProof/>
              <w:color w:val="808080" w:themeColor="background1" w:themeShade="80"/>
              <w:sz w:val="16"/>
              <w:szCs w:val="16"/>
            </w:rPr>
            <w:t>14</w:t>
          </w:r>
          <w:r w:rsidRPr="00DB1780">
            <w:rPr>
              <w:rFonts w:ascii="Open Sans" w:eastAsiaTheme="majorEastAsia" w:hAnsi="Open Sans" w:cs="Open Sans"/>
              <w:color w:val="808080" w:themeColor="background1" w:themeShade="80"/>
              <w:sz w:val="16"/>
              <w:szCs w:val="16"/>
            </w:rPr>
            <w:fldChar w:fldCharType="end"/>
          </w:r>
        </w:p>
      </w:tc>
      <w:tc>
        <w:tcPr>
          <w:tcW w:w="7685" w:type="dxa"/>
        </w:tcPr>
        <w:p w:rsidR="00283C12" w:rsidRPr="00732120" w:rsidRDefault="00C86701" w:rsidP="00283C12">
          <w:pPr>
            <w:pStyle w:val="Title"/>
            <w:spacing w:line="278" w:lineRule="auto"/>
            <w:rPr>
              <w:rFonts w:ascii="Open Sans" w:hAnsi="Open Sans" w:cs="Open Sans"/>
              <w:b w:val="0"/>
              <w:color w:val="595959" w:themeColor="text1" w:themeTint="A6"/>
              <w:lang w:val="en-GB"/>
            </w:rPr>
          </w:pPr>
          <w:r w:rsidRPr="00732120">
            <w:rPr>
              <w:rFonts w:ascii="Open Sans" w:hAnsi="Open Sans" w:cs="Open Sans"/>
              <w:noProof/>
              <w:color w:val="595959" w:themeColor="text1" w:themeTint="A6"/>
              <w:sz w:val="16"/>
              <w:szCs w:val="16"/>
              <w:lang w:val="en-US"/>
            </w:rPr>
            <w:t xml:space="preserve">| </w:t>
          </w:r>
          <w:r w:rsidR="00283C12" w:rsidRPr="00732120">
            <w:rPr>
              <w:rFonts w:ascii="Open Sans" w:hAnsi="Open Sans" w:cs="Open Sans"/>
              <w:b w:val="0"/>
              <w:color w:val="595959" w:themeColor="text1" w:themeTint="A6"/>
              <w:sz w:val="16"/>
              <w:szCs w:val="16"/>
              <w:lang w:val="en-GB"/>
            </w:rPr>
            <w:t xml:space="preserve">Assessment of geological risk in the Canary Islands: the </w:t>
          </w:r>
          <w:proofErr w:type="spellStart"/>
          <w:r w:rsidR="00283C12" w:rsidRPr="00732120">
            <w:rPr>
              <w:rFonts w:ascii="Open Sans" w:hAnsi="Open Sans" w:cs="Open Sans"/>
              <w:b w:val="0"/>
              <w:color w:val="595959" w:themeColor="text1" w:themeTint="A6"/>
              <w:sz w:val="16"/>
              <w:szCs w:val="16"/>
              <w:lang w:val="en-GB"/>
            </w:rPr>
            <w:t>GeoMEP</w:t>
          </w:r>
          <w:proofErr w:type="spellEnd"/>
          <w:r w:rsidR="00283C12" w:rsidRPr="00732120">
            <w:rPr>
              <w:rFonts w:ascii="Open Sans" w:hAnsi="Open Sans" w:cs="Open Sans"/>
              <w:b w:val="0"/>
              <w:color w:val="595959" w:themeColor="text1" w:themeTint="A6"/>
              <w:sz w:val="16"/>
              <w:szCs w:val="16"/>
              <w:lang w:val="en-GB"/>
            </w:rPr>
            <w:t xml:space="preserve"> project                                                                                                                                                                                                </w:t>
          </w:r>
        </w:p>
        <w:p w:rsidR="00C86701" w:rsidRPr="00732120" w:rsidRDefault="00C86701" w:rsidP="00C86701">
          <w:pPr>
            <w:pStyle w:val="Footer"/>
            <w:rPr>
              <w:color w:val="595959" w:themeColor="text1" w:themeTint="A6"/>
              <w:sz w:val="16"/>
              <w:szCs w:val="16"/>
              <w:lang w:val="en-GB"/>
            </w:rPr>
          </w:pPr>
        </w:p>
      </w:tc>
    </w:tr>
  </w:tbl>
  <w:p w:rsidR="005D560C" w:rsidRPr="00283C12" w:rsidRDefault="005D560C">
    <w:pPr>
      <w:pStyle w:val="Footer"/>
      <w:rPr>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715FF" w:rsidRDefault="00A715FF" w:rsidP="009B7A29">
      <w:pPr>
        <w:spacing w:after="0" w:line="240" w:lineRule="auto"/>
      </w:pPr>
      <w:r>
        <w:separator/>
      </w:r>
    </w:p>
  </w:footnote>
  <w:footnote w:type="continuationSeparator" w:id="0">
    <w:p w:rsidR="00A715FF" w:rsidRDefault="00A715FF" w:rsidP="009B7A2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70B2C"/>
      <w:tblLook w:val="04A0" w:firstRow="1" w:lastRow="0" w:firstColumn="1" w:lastColumn="0" w:noHBand="0" w:noVBand="1"/>
    </w:tblPr>
    <w:tblGrid>
      <w:gridCol w:w="4322"/>
      <w:gridCol w:w="5142"/>
    </w:tblGrid>
    <w:tr w:rsidR="009B7A29" w:rsidTr="00314A37">
      <w:tc>
        <w:tcPr>
          <w:tcW w:w="4322" w:type="dxa"/>
          <w:shd w:val="clear" w:color="auto" w:fill="A70B2C"/>
        </w:tcPr>
        <w:p w:rsidR="009B7A29" w:rsidRDefault="009B7A29">
          <w:pPr>
            <w:pStyle w:val="Header"/>
          </w:pPr>
          <w:r>
            <w:rPr>
              <w:noProof/>
              <w:lang w:eastAsia="es-ES"/>
            </w:rPr>
            <w:drawing>
              <wp:inline distT="0" distB="0" distL="0" distR="0" wp14:anchorId="6CE69280" wp14:editId="648F1F3A">
                <wp:extent cx="1028751" cy="195209"/>
                <wp:effectExtent l="0" t="0" r="0" b="0"/>
                <wp:docPr id="1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consorseguros.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28751" cy="195209"/>
                        </a:xfrm>
                        <a:prstGeom prst="rect">
                          <a:avLst/>
                        </a:prstGeom>
                      </pic:spPr>
                    </pic:pic>
                  </a:graphicData>
                </a:graphic>
              </wp:inline>
            </w:drawing>
          </w:r>
        </w:p>
      </w:tc>
      <w:tc>
        <w:tcPr>
          <w:tcW w:w="5142" w:type="dxa"/>
          <w:shd w:val="clear" w:color="auto" w:fill="A70B2C"/>
          <w:vAlign w:val="center"/>
        </w:tcPr>
        <w:p w:rsidR="009B7A29" w:rsidRPr="00A72331" w:rsidRDefault="00283C12" w:rsidP="0064441D">
          <w:pPr>
            <w:pStyle w:val="Header"/>
            <w:jc w:val="right"/>
            <w:rPr>
              <w:color w:val="FFFFFF" w:themeColor="background1"/>
              <w:sz w:val="18"/>
              <w:szCs w:val="18"/>
            </w:rPr>
          </w:pPr>
          <w:proofErr w:type="spellStart"/>
          <w:r>
            <w:rPr>
              <w:b/>
              <w:color w:val="FFFFFF" w:themeColor="background1"/>
              <w:sz w:val="18"/>
              <w:szCs w:val="18"/>
            </w:rPr>
            <w:t>Number</w:t>
          </w:r>
          <w:proofErr w:type="spellEnd"/>
          <w:r>
            <w:rPr>
              <w:b/>
              <w:color w:val="FFFFFF" w:themeColor="background1"/>
              <w:sz w:val="18"/>
              <w:szCs w:val="18"/>
            </w:rPr>
            <w:t xml:space="preserve"> </w:t>
          </w:r>
          <w:r w:rsidR="009B7A29" w:rsidRPr="00A72331">
            <w:rPr>
              <w:b/>
              <w:color w:val="FFFFFF" w:themeColor="background1"/>
              <w:sz w:val="18"/>
              <w:szCs w:val="18"/>
            </w:rPr>
            <w:t xml:space="preserve">01 </w:t>
          </w:r>
          <w:r w:rsidR="009B7A29" w:rsidRPr="00A72331">
            <w:rPr>
              <w:color w:val="FFFFFF" w:themeColor="background1"/>
              <w:sz w:val="18"/>
              <w:szCs w:val="18"/>
            </w:rPr>
            <w:t xml:space="preserve"> |  </w:t>
          </w:r>
          <w:proofErr w:type="spellStart"/>
          <w:r w:rsidR="0064441D">
            <w:rPr>
              <w:color w:val="FFFFFF" w:themeColor="background1"/>
              <w:sz w:val="18"/>
              <w:szCs w:val="18"/>
            </w:rPr>
            <w:t>September</w:t>
          </w:r>
          <w:proofErr w:type="spellEnd"/>
          <w:r w:rsidR="009B7A29" w:rsidRPr="00A72331">
            <w:rPr>
              <w:color w:val="FFFFFF" w:themeColor="background1"/>
              <w:sz w:val="18"/>
              <w:szCs w:val="18"/>
            </w:rPr>
            <w:t xml:space="preserve"> 2014</w:t>
          </w:r>
        </w:p>
      </w:tc>
    </w:tr>
  </w:tbl>
  <w:p w:rsidR="009B7A29" w:rsidRDefault="009B7A29" w:rsidP="009B7A2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6326BA"/>
    <w:multiLevelType w:val="hybridMultilevel"/>
    <w:tmpl w:val="DF5AF980"/>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nsid w:val="0A702635"/>
    <w:multiLevelType w:val="hybridMultilevel"/>
    <w:tmpl w:val="358ED2AC"/>
    <w:lvl w:ilvl="0" w:tplc="5748B9EC">
      <w:numFmt w:val="bullet"/>
      <w:lvlText w:val="-"/>
      <w:lvlJc w:val="left"/>
      <w:pPr>
        <w:ind w:left="720" w:hanging="360"/>
      </w:pPr>
      <w:rPr>
        <w:rFonts w:ascii="Calibri" w:eastAsia="Calibri" w:hAnsi="Calibri"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0BF73B36"/>
    <w:multiLevelType w:val="hybridMultilevel"/>
    <w:tmpl w:val="BD5AB5CE"/>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nsid w:val="1E8E7303"/>
    <w:multiLevelType w:val="hybridMultilevel"/>
    <w:tmpl w:val="1772B4B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473B5D2B"/>
    <w:multiLevelType w:val="hybridMultilevel"/>
    <w:tmpl w:val="EDD6AF4E"/>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nsid w:val="47723648"/>
    <w:multiLevelType w:val="hybridMultilevel"/>
    <w:tmpl w:val="085AE3CA"/>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nsid w:val="48E700C4"/>
    <w:multiLevelType w:val="hybridMultilevel"/>
    <w:tmpl w:val="5F1055C2"/>
    <w:lvl w:ilvl="0" w:tplc="41CCB788">
      <w:start w:val="1"/>
      <w:numFmt w:val="decimal"/>
      <w:lvlText w:val="(%1)"/>
      <w:lvlJc w:val="left"/>
      <w:pPr>
        <w:ind w:left="720" w:hanging="360"/>
      </w:pPr>
      <w:rPr>
        <w:rFonts w:asciiTheme="minorHAnsi" w:hAnsiTheme="minorHAnsi" w:cstheme="minorBidi" w:hint="default"/>
        <w:color w:val="A70B2C"/>
        <w:sz w:val="22"/>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nsid w:val="545B5EAE"/>
    <w:multiLevelType w:val="hybridMultilevel"/>
    <w:tmpl w:val="2976F2D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6B5901E7"/>
    <w:multiLevelType w:val="hybridMultilevel"/>
    <w:tmpl w:val="F6221B8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nsid w:val="6C7F1BF6"/>
    <w:multiLevelType w:val="hybridMultilevel"/>
    <w:tmpl w:val="101A07BE"/>
    <w:lvl w:ilvl="0" w:tplc="41CCB788">
      <w:start w:val="1"/>
      <w:numFmt w:val="decimal"/>
      <w:lvlText w:val="(%1)"/>
      <w:lvlJc w:val="left"/>
      <w:pPr>
        <w:ind w:left="720" w:hanging="360"/>
      </w:pPr>
      <w:rPr>
        <w:rFonts w:asciiTheme="minorHAnsi" w:hAnsiTheme="minorHAnsi" w:cstheme="minorBidi" w:hint="default"/>
        <w:color w:val="A70B2C"/>
        <w:sz w:val="22"/>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nsid w:val="73A53F8F"/>
    <w:multiLevelType w:val="hybridMultilevel"/>
    <w:tmpl w:val="16B47B6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7"/>
  </w:num>
  <w:num w:numId="2">
    <w:abstractNumId w:val="10"/>
  </w:num>
  <w:num w:numId="3">
    <w:abstractNumId w:val="3"/>
  </w:num>
  <w:num w:numId="4">
    <w:abstractNumId w:val="5"/>
  </w:num>
  <w:num w:numId="5">
    <w:abstractNumId w:val="1"/>
  </w:num>
  <w:num w:numId="6">
    <w:abstractNumId w:val="2"/>
  </w:num>
  <w:num w:numId="7">
    <w:abstractNumId w:val="4"/>
  </w:num>
  <w:num w:numId="8">
    <w:abstractNumId w:val="0"/>
  </w:num>
  <w:num w:numId="9">
    <w:abstractNumId w:val="6"/>
  </w:num>
  <w:num w:numId="10">
    <w:abstractNumId w:val="9"/>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611F"/>
    <w:rsid w:val="00020DF2"/>
    <w:rsid w:val="000B2EE5"/>
    <w:rsid w:val="000F25DD"/>
    <w:rsid w:val="00104301"/>
    <w:rsid w:val="00181DBB"/>
    <w:rsid w:val="0018369F"/>
    <w:rsid w:val="00187C4D"/>
    <w:rsid w:val="001A3FC6"/>
    <w:rsid w:val="001A449C"/>
    <w:rsid w:val="001C210B"/>
    <w:rsid w:val="001C4705"/>
    <w:rsid w:val="002547A0"/>
    <w:rsid w:val="00275979"/>
    <w:rsid w:val="00283C12"/>
    <w:rsid w:val="002B75C6"/>
    <w:rsid w:val="002C2E87"/>
    <w:rsid w:val="002D0D32"/>
    <w:rsid w:val="00300612"/>
    <w:rsid w:val="00314A37"/>
    <w:rsid w:val="00330D01"/>
    <w:rsid w:val="0038320C"/>
    <w:rsid w:val="003D35BB"/>
    <w:rsid w:val="0045108A"/>
    <w:rsid w:val="00456BE5"/>
    <w:rsid w:val="004A632A"/>
    <w:rsid w:val="004E050E"/>
    <w:rsid w:val="004F34E5"/>
    <w:rsid w:val="00592246"/>
    <w:rsid w:val="005A2C0B"/>
    <w:rsid w:val="005B2914"/>
    <w:rsid w:val="005B7159"/>
    <w:rsid w:val="005B7798"/>
    <w:rsid w:val="005D560C"/>
    <w:rsid w:val="005E705D"/>
    <w:rsid w:val="00630BB1"/>
    <w:rsid w:val="0064441D"/>
    <w:rsid w:val="006852D4"/>
    <w:rsid w:val="006A5CCB"/>
    <w:rsid w:val="006D792D"/>
    <w:rsid w:val="0070116A"/>
    <w:rsid w:val="007167E4"/>
    <w:rsid w:val="00732120"/>
    <w:rsid w:val="0084611F"/>
    <w:rsid w:val="00884325"/>
    <w:rsid w:val="008A6F90"/>
    <w:rsid w:val="008A7CC4"/>
    <w:rsid w:val="008C60D6"/>
    <w:rsid w:val="00916D80"/>
    <w:rsid w:val="009452A1"/>
    <w:rsid w:val="009B7A29"/>
    <w:rsid w:val="009D62E6"/>
    <w:rsid w:val="009E67F5"/>
    <w:rsid w:val="00A35594"/>
    <w:rsid w:val="00A62FA9"/>
    <w:rsid w:val="00A67CE9"/>
    <w:rsid w:val="00A715FF"/>
    <w:rsid w:val="00A72331"/>
    <w:rsid w:val="00A75455"/>
    <w:rsid w:val="00A765C9"/>
    <w:rsid w:val="00A8362A"/>
    <w:rsid w:val="00A86D46"/>
    <w:rsid w:val="00AD1609"/>
    <w:rsid w:val="00B16614"/>
    <w:rsid w:val="00B20598"/>
    <w:rsid w:val="00B33838"/>
    <w:rsid w:val="00B36D8B"/>
    <w:rsid w:val="00B60991"/>
    <w:rsid w:val="00B92EF2"/>
    <w:rsid w:val="00B93184"/>
    <w:rsid w:val="00C2470A"/>
    <w:rsid w:val="00C5445E"/>
    <w:rsid w:val="00C652BB"/>
    <w:rsid w:val="00C86701"/>
    <w:rsid w:val="00CC783F"/>
    <w:rsid w:val="00D62AA3"/>
    <w:rsid w:val="00D80BC4"/>
    <w:rsid w:val="00DA6410"/>
    <w:rsid w:val="00DB1780"/>
    <w:rsid w:val="00DC3B9E"/>
    <w:rsid w:val="00DE38D4"/>
    <w:rsid w:val="00E06DA1"/>
    <w:rsid w:val="00E564F2"/>
    <w:rsid w:val="00E722DC"/>
    <w:rsid w:val="00E727A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84611F"/>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Heading2">
    <w:name w:val="heading 2"/>
    <w:basedOn w:val="Normal"/>
    <w:link w:val="Heading2Char"/>
    <w:uiPriority w:val="9"/>
    <w:qFormat/>
    <w:rsid w:val="0084611F"/>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Heading3">
    <w:name w:val="heading 3"/>
    <w:basedOn w:val="Normal"/>
    <w:next w:val="Normal"/>
    <w:link w:val="Heading3Char"/>
    <w:uiPriority w:val="9"/>
    <w:semiHidden/>
    <w:unhideWhenUsed/>
    <w:qFormat/>
    <w:rsid w:val="002B75C6"/>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4611F"/>
    <w:rPr>
      <w:rFonts w:ascii="Times New Roman" w:eastAsia="Times New Roman" w:hAnsi="Times New Roman" w:cs="Times New Roman"/>
      <w:b/>
      <w:bCs/>
      <w:kern w:val="36"/>
      <w:sz w:val="48"/>
      <w:szCs w:val="48"/>
      <w:lang w:eastAsia="es-ES"/>
    </w:rPr>
  </w:style>
  <w:style w:type="character" w:customStyle="1" w:styleId="Heading2Char">
    <w:name w:val="Heading 2 Char"/>
    <w:basedOn w:val="DefaultParagraphFont"/>
    <w:link w:val="Heading2"/>
    <w:uiPriority w:val="9"/>
    <w:rsid w:val="0084611F"/>
    <w:rPr>
      <w:rFonts w:ascii="Times New Roman" w:eastAsia="Times New Roman" w:hAnsi="Times New Roman" w:cs="Times New Roman"/>
      <w:b/>
      <w:bCs/>
      <w:sz w:val="36"/>
      <w:szCs w:val="36"/>
      <w:lang w:eastAsia="es-ES"/>
    </w:rPr>
  </w:style>
  <w:style w:type="table" w:styleId="TableGrid">
    <w:name w:val="Table Grid"/>
    <w:basedOn w:val="TableNormal"/>
    <w:uiPriority w:val="59"/>
    <w:rsid w:val="008461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84611F"/>
    <w:rPr>
      <w:b/>
      <w:bCs/>
    </w:rPr>
  </w:style>
  <w:style w:type="character" w:customStyle="1" w:styleId="apple-converted-space">
    <w:name w:val="apple-converted-space"/>
    <w:basedOn w:val="DefaultParagraphFont"/>
    <w:rsid w:val="0084611F"/>
  </w:style>
  <w:style w:type="paragraph" w:styleId="BalloonText">
    <w:name w:val="Balloon Text"/>
    <w:basedOn w:val="Normal"/>
    <w:link w:val="BalloonTextChar"/>
    <w:uiPriority w:val="99"/>
    <w:semiHidden/>
    <w:unhideWhenUsed/>
    <w:rsid w:val="00A3559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35594"/>
    <w:rPr>
      <w:rFonts w:ascii="Tahoma" w:hAnsi="Tahoma" w:cs="Tahoma"/>
      <w:sz w:val="16"/>
      <w:szCs w:val="16"/>
    </w:rPr>
  </w:style>
  <w:style w:type="paragraph" w:styleId="Header">
    <w:name w:val="header"/>
    <w:basedOn w:val="Normal"/>
    <w:link w:val="HeaderChar"/>
    <w:uiPriority w:val="99"/>
    <w:unhideWhenUsed/>
    <w:rsid w:val="009B7A29"/>
    <w:pPr>
      <w:tabs>
        <w:tab w:val="center" w:pos="4252"/>
        <w:tab w:val="right" w:pos="8504"/>
      </w:tabs>
      <w:spacing w:after="0" w:line="240" w:lineRule="auto"/>
    </w:pPr>
  </w:style>
  <w:style w:type="character" w:customStyle="1" w:styleId="HeaderChar">
    <w:name w:val="Header Char"/>
    <w:basedOn w:val="DefaultParagraphFont"/>
    <w:link w:val="Header"/>
    <w:uiPriority w:val="99"/>
    <w:rsid w:val="009B7A29"/>
  </w:style>
  <w:style w:type="paragraph" w:styleId="Footer">
    <w:name w:val="footer"/>
    <w:basedOn w:val="Normal"/>
    <w:link w:val="FooterChar"/>
    <w:uiPriority w:val="99"/>
    <w:unhideWhenUsed/>
    <w:rsid w:val="009B7A29"/>
    <w:pPr>
      <w:tabs>
        <w:tab w:val="center" w:pos="4252"/>
        <w:tab w:val="right" w:pos="8504"/>
      </w:tabs>
      <w:spacing w:after="0" w:line="240" w:lineRule="auto"/>
    </w:pPr>
  </w:style>
  <w:style w:type="character" w:customStyle="1" w:styleId="FooterChar">
    <w:name w:val="Footer Char"/>
    <w:basedOn w:val="DefaultParagraphFont"/>
    <w:link w:val="Footer"/>
    <w:uiPriority w:val="99"/>
    <w:rsid w:val="009B7A29"/>
  </w:style>
  <w:style w:type="paragraph" w:customStyle="1" w:styleId="FooterOdd">
    <w:name w:val="Footer Odd"/>
    <w:basedOn w:val="Normal"/>
    <w:qFormat/>
    <w:rsid w:val="005D560C"/>
    <w:pPr>
      <w:pBdr>
        <w:top w:val="single" w:sz="4" w:space="1" w:color="4F81BD" w:themeColor="accent1"/>
      </w:pBdr>
      <w:spacing w:after="180" w:line="264" w:lineRule="auto"/>
      <w:jc w:val="right"/>
    </w:pPr>
    <w:rPr>
      <w:rFonts w:eastAsiaTheme="minorEastAsia"/>
      <w:color w:val="1F497D" w:themeColor="text2"/>
      <w:sz w:val="20"/>
      <w:szCs w:val="23"/>
      <w:lang w:eastAsia="fr-FR"/>
    </w:rPr>
  </w:style>
  <w:style w:type="character" w:customStyle="1" w:styleId="info">
    <w:name w:val="info"/>
    <w:basedOn w:val="DefaultParagraphFont"/>
    <w:rsid w:val="001C4705"/>
  </w:style>
  <w:style w:type="character" w:styleId="FootnoteReference">
    <w:name w:val="footnote reference"/>
    <w:basedOn w:val="DefaultParagraphFont"/>
    <w:uiPriority w:val="99"/>
    <w:semiHidden/>
    <w:unhideWhenUsed/>
    <w:rsid w:val="001C4705"/>
    <w:rPr>
      <w:vertAlign w:val="superscript"/>
    </w:rPr>
  </w:style>
  <w:style w:type="paragraph" w:styleId="ListParagraph">
    <w:name w:val="List Paragraph"/>
    <w:basedOn w:val="Normal"/>
    <w:uiPriority w:val="34"/>
    <w:qFormat/>
    <w:rsid w:val="008A7CC4"/>
    <w:pPr>
      <w:ind w:left="720"/>
      <w:contextualSpacing/>
    </w:pPr>
  </w:style>
  <w:style w:type="character" w:customStyle="1" w:styleId="Heading3Char">
    <w:name w:val="Heading 3 Char"/>
    <w:basedOn w:val="DefaultParagraphFont"/>
    <w:link w:val="Heading3"/>
    <w:uiPriority w:val="9"/>
    <w:semiHidden/>
    <w:rsid w:val="002B75C6"/>
    <w:rPr>
      <w:rFonts w:asciiTheme="majorHAnsi" w:eastAsiaTheme="majorEastAsia" w:hAnsiTheme="majorHAnsi" w:cstheme="majorBidi"/>
      <w:b/>
      <w:bCs/>
      <w:color w:val="4F81BD" w:themeColor="accent1"/>
    </w:rPr>
  </w:style>
  <w:style w:type="paragraph" w:styleId="Title">
    <w:name w:val="Title"/>
    <w:basedOn w:val="Heading1"/>
    <w:next w:val="Normal"/>
    <w:link w:val="TitleChar"/>
    <w:uiPriority w:val="10"/>
    <w:qFormat/>
    <w:rsid w:val="006852D4"/>
    <w:pPr>
      <w:keepNext/>
      <w:keepLines/>
      <w:spacing w:before="0" w:beforeAutospacing="0" w:after="200" w:afterAutospacing="0" w:line="276" w:lineRule="auto"/>
      <w:jc w:val="both"/>
    </w:pPr>
    <w:rPr>
      <w:rFonts w:ascii="Calibri" w:eastAsia="Calibri" w:hAnsi="Calibri"/>
      <w:bCs w:val="0"/>
      <w:kern w:val="0"/>
      <w:sz w:val="40"/>
      <w:szCs w:val="22"/>
      <w:lang w:eastAsia="en-US"/>
    </w:rPr>
  </w:style>
  <w:style w:type="character" w:customStyle="1" w:styleId="TitleChar">
    <w:name w:val="Title Char"/>
    <w:basedOn w:val="DefaultParagraphFont"/>
    <w:link w:val="Title"/>
    <w:uiPriority w:val="10"/>
    <w:rsid w:val="006852D4"/>
    <w:rPr>
      <w:rFonts w:ascii="Calibri" w:eastAsia="Calibri" w:hAnsi="Calibri" w:cs="Times New Roman"/>
      <w:b/>
      <w:sz w:val="40"/>
    </w:rPr>
  </w:style>
  <w:style w:type="paragraph" w:styleId="FootnoteText">
    <w:name w:val="footnote text"/>
    <w:basedOn w:val="Normal"/>
    <w:link w:val="FootnoteTextChar"/>
    <w:uiPriority w:val="99"/>
    <w:semiHidden/>
    <w:unhideWhenUsed/>
    <w:rsid w:val="00B93184"/>
    <w:pPr>
      <w:keepNext/>
      <w:keepLines/>
      <w:spacing w:line="240" w:lineRule="auto"/>
      <w:jc w:val="both"/>
    </w:pPr>
    <w:rPr>
      <w:rFonts w:ascii="Calibri" w:eastAsia="Calibri" w:hAnsi="Calibri" w:cs="Times New Roman"/>
      <w:sz w:val="16"/>
      <w:szCs w:val="20"/>
    </w:rPr>
  </w:style>
  <w:style w:type="character" w:customStyle="1" w:styleId="FootnoteTextChar">
    <w:name w:val="Footnote Text Char"/>
    <w:basedOn w:val="DefaultParagraphFont"/>
    <w:link w:val="FootnoteText"/>
    <w:uiPriority w:val="99"/>
    <w:semiHidden/>
    <w:rsid w:val="00B93184"/>
    <w:rPr>
      <w:rFonts w:ascii="Calibri" w:eastAsia="Calibri" w:hAnsi="Calibri" w:cs="Times New Roman"/>
      <w:sz w:val="16"/>
      <w:szCs w:val="20"/>
    </w:rPr>
  </w:style>
  <w:style w:type="character" w:styleId="Emphasis">
    <w:name w:val="Emphasis"/>
    <w:basedOn w:val="DefaultParagraphFont"/>
    <w:uiPriority w:val="20"/>
    <w:qFormat/>
    <w:rsid w:val="005A2C0B"/>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84611F"/>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Heading2">
    <w:name w:val="heading 2"/>
    <w:basedOn w:val="Normal"/>
    <w:link w:val="Heading2Char"/>
    <w:uiPriority w:val="9"/>
    <w:qFormat/>
    <w:rsid w:val="0084611F"/>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Heading3">
    <w:name w:val="heading 3"/>
    <w:basedOn w:val="Normal"/>
    <w:next w:val="Normal"/>
    <w:link w:val="Heading3Char"/>
    <w:uiPriority w:val="9"/>
    <w:semiHidden/>
    <w:unhideWhenUsed/>
    <w:qFormat/>
    <w:rsid w:val="002B75C6"/>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4611F"/>
    <w:rPr>
      <w:rFonts w:ascii="Times New Roman" w:eastAsia="Times New Roman" w:hAnsi="Times New Roman" w:cs="Times New Roman"/>
      <w:b/>
      <w:bCs/>
      <w:kern w:val="36"/>
      <w:sz w:val="48"/>
      <w:szCs w:val="48"/>
      <w:lang w:eastAsia="es-ES"/>
    </w:rPr>
  </w:style>
  <w:style w:type="character" w:customStyle="1" w:styleId="Heading2Char">
    <w:name w:val="Heading 2 Char"/>
    <w:basedOn w:val="DefaultParagraphFont"/>
    <w:link w:val="Heading2"/>
    <w:uiPriority w:val="9"/>
    <w:rsid w:val="0084611F"/>
    <w:rPr>
      <w:rFonts w:ascii="Times New Roman" w:eastAsia="Times New Roman" w:hAnsi="Times New Roman" w:cs="Times New Roman"/>
      <w:b/>
      <w:bCs/>
      <w:sz w:val="36"/>
      <w:szCs w:val="36"/>
      <w:lang w:eastAsia="es-ES"/>
    </w:rPr>
  </w:style>
  <w:style w:type="table" w:styleId="TableGrid">
    <w:name w:val="Table Grid"/>
    <w:basedOn w:val="TableNormal"/>
    <w:uiPriority w:val="59"/>
    <w:rsid w:val="008461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84611F"/>
    <w:rPr>
      <w:b/>
      <w:bCs/>
    </w:rPr>
  </w:style>
  <w:style w:type="character" w:customStyle="1" w:styleId="apple-converted-space">
    <w:name w:val="apple-converted-space"/>
    <w:basedOn w:val="DefaultParagraphFont"/>
    <w:rsid w:val="0084611F"/>
  </w:style>
  <w:style w:type="paragraph" w:styleId="BalloonText">
    <w:name w:val="Balloon Text"/>
    <w:basedOn w:val="Normal"/>
    <w:link w:val="BalloonTextChar"/>
    <w:uiPriority w:val="99"/>
    <w:semiHidden/>
    <w:unhideWhenUsed/>
    <w:rsid w:val="00A3559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35594"/>
    <w:rPr>
      <w:rFonts w:ascii="Tahoma" w:hAnsi="Tahoma" w:cs="Tahoma"/>
      <w:sz w:val="16"/>
      <w:szCs w:val="16"/>
    </w:rPr>
  </w:style>
  <w:style w:type="paragraph" w:styleId="Header">
    <w:name w:val="header"/>
    <w:basedOn w:val="Normal"/>
    <w:link w:val="HeaderChar"/>
    <w:uiPriority w:val="99"/>
    <w:unhideWhenUsed/>
    <w:rsid w:val="009B7A29"/>
    <w:pPr>
      <w:tabs>
        <w:tab w:val="center" w:pos="4252"/>
        <w:tab w:val="right" w:pos="8504"/>
      </w:tabs>
      <w:spacing w:after="0" w:line="240" w:lineRule="auto"/>
    </w:pPr>
  </w:style>
  <w:style w:type="character" w:customStyle="1" w:styleId="HeaderChar">
    <w:name w:val="Header Char"/>
    <w:basedOn w:val="DefaultParagraphFont"/>
    <w:link w:val="Header"/>
    <w:uiPriority w:val="99"/>
    <w:rsid w:val="009B7A29"/>
  </w:style>
  <w:style w:type="paragraph" w:styleId="Footer">
    <w:name w:val="footer"/>
    <w:basedOn w:val="Normal"/>
    <w:link w:val="FooterChar"/>
    <w:uiPriority w:val="99"/>
    <w:unhideWhenUsed/>
    <w:rsid w:val="009B7A29"/>
    <w:pPr>
      <w:tabs>
        <w:tab w:val="center" w:pos="4252"/>
        <w:tab w:val="right" w:pos="8504"/>
      </w:tabs>
      <w:spacing w:after="0" w:line="240" w:lineRule="auto"/>
    </w:pPr>
  </w:style>
  <w:style w:type="character" w:customStyle="1" w:styleId="FooterChar">
    <w:name w:val="Footer Char"/>
    <w:basedOn w:val="DefaultParagraphFont"/>
    <w:link w:val="Footer"/>
    <w:uiPriority w:val="99"/>
    <w:rsid w:val="009B7A29"/>
  </w:style>
  <w:style w:type="paragraph" w:customStyle="1" w:styleId="FooterOdd">
    <w:name w:val="Footer Odd"/>
    <w:basedOn w:val="Normal"/>
    <w:qFormat/>
    <w:rsid w:val="005D560C"/>
    <w:pPr>
      <w:pBdr>
        <w:top w:val="single" w:sz="4" w:space="1" w:color="4F81BD" w:themeColor="accent1"/>
      </w:pBdr>
      <w:spacing w:after="180" w:line="264" w:lineRule="auto"/>
      <w:jc w:val="right"/>
    </w:pPr>
    <w:rPr>
      <w:rFonts w:eastAsiaTheme="minorEastAsia"/>
      <w:color w:val="1F497D" w:themeColor="text2"/>
      <w:sz w:val="20"/>
      <w:szCs w:val="23"/>
      <w:lang w:eastAsia="fr-FR"/>
    </w:rPr>
  </w:style>
  <w:style w:type="character" w:customStyle="1" w:styleId="info">
    <w:name w:val="info"/>
    <w:basedOn w:val="DefaultParagraphFont"/>
    <w:rsid w:val="001C4705"/>
  </w:style>
  <w:style w:type="character" w:styleId="FootnoteReference">
    <w:name w:val="footnote reference"/>
    <w:basedOn w:val="DefaultParagraphFont"/>
    <w:uiPriority w:val="99"/>
    <w:semiHidden/>
    <w:unhideWhenUsed/>
    <w:rsid w:val="001C4705"/>
    <w:rPr>
      <w:vertAlign w:val="superscript"/>
    </w:rPr>
  </w:style>
  <w:style w:type="paragraph" w:styleId="ListParagraph">
    <w:name w:val="List Paragraph"/>
    <w:basedOn w:val="Normal"/>
    <w:uiPriority w:val="34"/>
    <w:qFormat/>
    <w:rsid w:val="008A7CC4"/>
    <w:pPr>
      <w:ind w:left="720"/>
      <w:contextualSpacing/>
    </w:pPr>
  </w:style>
  <w:style w:type="character" w:customStyle="1" w:styleId="Heading3Char">
    <w:name w:val="Heading 3 Char"/>
    <w:basedOn w:val="DefaultParagraphFont"/>
    <w:link w:val="Heading3"/>
    <w:uiPriority w:val="9"/>
    <w:semiHidden/>
    <w:rsid w:val="002B75C6"/>
    <w:rPr>
      <w:rFonts w:asciiTheme="majorHAnsi" w:eastAsiaTheme="majorEastAsia" w:hAnsiTheme="majorHAnsi" w:cstheme="majorBidi"/>
      <w:b/>
      <w:bCs/>
      <w:color w:val="4F81BD" w:themeColor="accent1"/>
    </w:rPr>
  </w:style>
  <w:style w:type="paragraph" w:styleId="Title">
    <w:name w:val="Title"/>
    <w:basedOn w:val="Heading1"/>
    <w:next w:val="Normal"/>
    <w:link w:val="TitleChar"/>
    <w:uiPriority w:val="10"/>
    <w:qFormat/>
    <w:rsid w:val="006852D4"/>
    <w:pPr>
      <w:keepNext/>
      <w:keepLines/>
      <w:spacing w:before="0" w:beforeAutospacing="0" w:after="200" w:afterAutospacing="0" w:line="276" w:lineRule="auto"/>
      <w:jc w:val="both"/>
    </w:pPr>
    <w:rPr>
      <w:rFonts w:ascii="Calibri" w:eastAsia="Calibri" w:hAnsi="Calibri"/>
      <w:bCs w:val="0"/>
      <w:kern w:val="0"/>
      <w:sz w:val="40"/>
      <w:szCs w:val="22"/>
      <w:lang w:eastAsia="en-US"/>
    </w:rPr>
  </w:style>
  <w:style w:type="character" w:customStyle="1" w:styleId="TitleChar">
    <w:name w:val="Title Char"/>
    <w:basedOn w:val="DefaultParagraphFont"/>
    <w:link w:val="Title"/>
    <w:uiPriority w:val="10"/>
    <w:rsid w:val="006852D4"/>
    <w:rPr>
      <w:rFonts w:ascii="Calibri" w:eastAsia="Calibri" w:hAnsi="Calibri" w:cs="Times New Roman"/>
      <w:b/>
      <w:sz w:val="40"/>
    </w:rPr>
  </w:style>
  <w:style w:type="paragraph" w:styleId="FootnoteText">
    <w:name w:val="footnote text"/>
    <w:basedOn w:val="Normal"/>
    <w:link w:val="FootnoteTextChar"/>
    <w:uiPriority w:val="99"/>
    <w:semiHidden/>
    <w:unhideWhenUsed/>
    <w:rsid w:val="00B93184"/>
    <w:pPr>
      <w:keepNext/>
      <w:keepLines/>
      <w:spacing w:line="240" w:lineRule="auto"/>
      <w:jc w:val="both"/>
    </w:pPr>
    <w:rPr>
      <w:rFonts w:ascii="Calibri" w:eastAsia="Calibri" w:hAnsi="Calibri" w:cs="Times New Roman"/>
      <w:sz w:val="16"/>
      <w:szCs w:val="20"/>
    </w:rPr>
  </w:style>
  <w:style w:type="character" w:customStyle="1" w:styleId="FootnoteTextChar">
    <w:name w:val="Footnote Text Char"/>
    <w:basedOn w:val="DefaultParagraphFont"/>
    <w:link w:val="FootnoteText"/>
    <w:uiPriority w:val="99"/>
    <w:semiHidden/>
    <w:rsid w:val="00B93184"/>
    <w:rPr>
      <w:rFonts w:ascii="Calibri" w:eastAsia="Calibri" w:hAnsi="Calibri" w:cs="Times New Roman"/>
      <w:sz w:val="16"/>
      <w:szCs w:val="20"/>
    </w:rPr>
  </w:style>
  <w:style w:type="character" w:styleId="Emphasis">
    <w:name w:val="Emphasis"/>
    <w:basedOn w:val="DefaultParagraphFont"/>
    <w:uiPriority w:val="20"/>
    <w:qFormat/>
    <w:rsid w:val="005A2C0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5739224">
      <w:bodyDiv w:val="1"/>
      <w:marLeft w:val="0"/>
      <w:marRight w:val="0"/>
      <w:marTop w:val="0"/>
      <w:marBottom w:val="0"/>
      <w:divBdr>
        <w:top w:val="none" w:sz="0" w:space="0" w:color="auto"/>
        <w:left w:val="none" w:sz="0" w:space="0" w:color="auto"/>
        <w:bottom w:val="none" w:sz="0" w:space="0" w:color="auto"/>
        <w:right w:val="none" w:sz="0" w:space="0" w:color="auto"/>
      </w:divBdr>
    </w:div>
    <w:div w:id="618343950">
      <w:bodyDiv w:val="1"/>
      <w:marLeft w:val="0"/>
      <w:marRight w:val="0"/>
      <w:marTop w:val="0"/>
      <w:marBottom w:val="0"/>
      <w:divBdr>
        <w:top w:val="none" w:sz="0" w:space="0" w:color="auto"/>
        <w:left w:val="none" w:sz="0" w:space="0" w:color="auto"/>
        <w:bottom w:val="none" w:sz="0" w:space="0" w:color="auto"/>
        <w:right w:val="none" w:sz="0" w:space="0" w:color="auto"/>
      </w:divBdr>
    </w:div>
    <w:div w:id="13731882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5.png"/><Relationship Id="rId18" Type="http://schemas.openxmlformats.org/officeDocument/2006/relationships/image" Target="media/image10.png"/><Relationship Id="rId3" Type="http://schemas.microsoft.com/office/2007/relationships/stylesWithEffects" Target="stylesWithEffect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package" Target="embeddings/Microsoft_PowerPoint_Presentation1.pptx"/><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88</TotalTime>
  <Pages>14</Pages>
  <Words>4010</Words>
  <Characters>21335</Characters>
  <Application>Microsoft Office Word</Application>
  <DocSecurity>0</DocSecurity>
  <Lines>520</Lines>
  <Paragraphs>76</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25269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patri</dc:creator>
  <cp:lastModifiedBy>Bego</cp:lastModifiedBy>
  <cp:revision>12</cp:revision>
  <cp:lastPrinted>2014-09-15T09:30:00Z</cp:lastPrinted>
  <dcterms:created xsi:type="dcterms:W3CDTF">2014-09-12T09:20:00Z</dcterms:created>
  <dcterms:modified xsi:type="dcterms:W3CDTF">2014-09-26T07:50:00Z</dcterms:modified>
</cp:coreProperties>
</file>