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8D5" w:rsidRDefault="002668D5" w:rsidP="002668D5">
      <w:pPr>
        <w:pStyle w:val="Heading1"/>
        <w:spacing w:before="0" w:beforeAutospacing="0" w:after="150" w:afterAutospacing="0" w:line="540" w:lineRule="atLeast"/>
        <w:rPr>
          <w:rFonts w:ascii="Open Sans" w:hAnsi="Open Sans" w:cs="Open Sans"/>
          <w:b w:val="0"/>
          <w:bCs w:val="0"/>
          <w:color w:val="A70B2C"/>
          <w:spacing w:val="-15"/>
          <w:sz w:val="40"/>
          <w:szCs w:val="40"/>
          <w:lang w:val="en-US"/>
        </w:rPr>
      </w:pPr>
      <w:proofErr w:type="gramStart"/>
      <w:r w:rsidRPr="002668D5">
        <w:rPr>
          <w:rFonts w:ascii="Open Sans" w:hAnsi="Open Sans" w:cs="Open Sans"/>
          <w:b w:val="0"/>
          <w:bCs w:val="0"/>
          <w:color w:val="A70B2C"/>
          <w:spacing w:val="-15"/>
          <w:sz w:val="40"/>
          <w:szCs w:val="40"/>
          <w:lang w:val="en-US"/>
        </w:rPr>
        <w:t xml:space="preserve">Participation of the CCS in the Third OECD </w:t>
      </w:r>
      <w:bookmarkStart w:id="0" w:name="_GoBack"/>
      <w:bookmarkEnd w:id="0"/>
      <w:r>
        <w:rPr>
          <w:rFonts w:ascii="Open Sans" w:hAnsi="Open Sans" w:cs="Open Sans"/>
          <w:b w:val="0"/>
          <w:bCs w:val="0"/>
          <w:color w:val="A70B2C"/>
          <w:spacing w:val="-15"/>
          <w:sz w:val="40"/>
          <w:szCs w:val="40"/>
          <w:lang w:val="en-US"/>
        </w:rPr>
        <w:br/>
      </w:r>
      <w:r w:rsidRPr="002668D5">
        <w:rPr>
          <w:rFonts w:ascii="Open Sans" w:hAnsi="Open Sans" w:cs="Open Sans"/>
          <w:b w:val="0"/>
          <w:bCs w:val="0"/>
          <w:color w:val="A70B2C"/>
          <w:spacing w:val="-15"/>
          <w:sz w:val="40"/>
          <w:szCs w:val="40"/>
          <w:lang w:val="en-US"/>
        </w:rPr>
        <w:t>International Meeting on Terro</w:t>
      </w:r>
      <w:r w:rsidRPr="002668D5">
        <w:rPr>
          <w:rFonts w:ascii="Open Sans" w:hAnsi="Open Sans" w:cs="Open Sans"/>
          <w:b w:val="0"/>
          <w:bCs w:val="0"/>
          <w:color w:val="A70B2C"/>
          <w:spacing w:val="-15"/>
          <w:sz w:val="40"/>
          <w:szCs w:val="40"/>
          <w:lang w:val="en-US"/>
        </w:rPr>
        <w:t>r</w:t>
      </w:r>
      <w:r w:rsidRPr="002668D5">
        <w:rPr>
          <w:rFonts w:ascii="Open Sans" w:hAnsi="Open Sans" w:cs="Open Sans"/>
          <w:b w:val="0"/>
          <w:bCs w:val="0"/>
          <w:color w:val="A70B2C"/>
          <w:spacing w:val="-15"/>
          <w:sz w:val="40"/>
          <w:szCs w:val="40"/>
          <w:lang w:val="en-US"/>
        </w:rPr>
        <w:t>ism Risk Insurance.</w:t>
      </w:r>
      <w:proofErr w:type="gramEnd"/>
    </w:p>
    <w:p w:rsidR="002668D5" w:rsidRDefault="002668D5" w:rsidP="002668D5">
      <w:pPr>
        <w:spacing w:line="345" w:lineRule="atLeast"/>
        <w:jc w:val="both"/>
        <w:rPr>
          <w:rFonts w:ascii="Open Sans" w:hAnsi="Open Sans" w:cs="Open Sans"/>
          <w:color w:val="353535"/>
          <w:sz w:val="20"/>
          <w:szCs w:val="20"/>
          <w:lang w:val="en-US"/>
        </w:rPr>
      </w:pPr>
      <w:r w:rsidRPr="002668D5">
        <w:rPr>
          <w:rFonts w:ascii="Open Sans" w:hAnsi="Open Sans" w:cs="Open Sans"/>
          <w:color w:val="353535"/>
          <w:sz w:val="20"/>
          <w:szCs w:val="20"/>
          <w:lang w:val="en-US"/>
        </w:rPr>
        <w:t>The Third International Meeting on Terrorism Risk Insurance was held in Washington D.C. on 10 September 2014, at the headquarters of the U.S. Department of the Treasury, under the title: “Terrorism Risk Insurance: a Global Perspective. Where Do We Go From Here?</w:t>
      </w:r>
      <w:proofErr w:type="gramStart"/>
      <w:r w:rsidRPr="002668D5">
        <w:rPr>
          <w:rFonts w:ascii="Open Sans" w:hAnsi="Open Sans" w:cs="Open Sans"/>
          <w:color w:val="353535"/>
          <w:sz w:val="20"/>
          <w:szCs w:val="20"/>
          <w:lang w:val="en-US"/>
        </w:rPr>
        <w:t>”.</w:t>
      </w:r>
      <w:proofErr w:type="gramEnd"/>
      <w:r w:rsidRPr="002668D5">
        <w:rPr>
          <w:rFonts w:ascii="Open Sans" w:hAnsi="Open Sans" w:cs="Open Sans"/>
          <w:color w:val="353535"/>
          <w:sz w:val="20"/>
          <w:szCs w:val="20"/>
          <w:lang w:val="en-US"/>
        </w:rPr>
        <w:t xml:space="preserve"> The Meeting c</w:t>
      </w:r>
      <w:r w:rsidRPr="002668D5">
        <w:rPr>
          <w:rFonts w:ascii="Open Sans" w:hAnsi="Open Sans" w:cs="Open Sans"/>
          <w:color w:val="353535"/>
          <w:sz w:val="20"/>
          <w:szCs w:val="20"/>
          <w:lang w:val="en-US"/>
        </w:rPr>
        <w:t>o</w:t>
      </w:r>
      <w:r w:rsidRPr="002668D5">
        <w:rPr>
          <w:rFonts w:ascii="Open Sans" w:hAnsi="Open Sans" w:cs="Open Sans"/>
          <w:color w:val="353535"/>
          <w:sz w:val="20"/>
          <w:szCs w:val="20"/>
          <w:lang w:val="en-US"/>
        </w:rPr>
        <w:t>incided with the anniversary of the 11 September 2001 terrorist attacks, in the context of an i</w:t>
      </w:r>
      <w:r w:rsidRPr="002668D5">
        <w:rPr>
          <w:rFonts w:ascii="Open Sans" w:hAnsi="Open Sans" w:cs="Open Sans"/>
          <w:color w:val="353535"/>
          <w:sz w:val="20"/>
          <w:szCs w:val="20"/>
          <w:lang w:val="en-US"/>
        </w:rPr>
        <w:t>n</w:t>
      </w:r>
      <w:r w:rsidRPr="002668D5">
        <w:rPr>
          <w:rFonts w:ascii="Open Sans" w:hAnsi="Open Sans" w:cs="Open Sans"/>
          <w:color w:val="353535"/>
          <w:sz w:val="20"/>
          <w:szCs w:val="20"/>
          <w:lang w:val="en-US"/>
        </w:rPr>
        <w:t>tense discussion, both in the political as well as the reinsurance market spheres in the U.S., on the advisability of renewing the mechanism for terrorism risk cove</w:t>
      </w:r>
      <w:r w:rsidRPr="002668D5">
        <w:rPr>
          <w:rFonts w:ascii="Open Sans" w:hAnsi="Open Sans" w:cs="Open Sans"/>
          <w:color w:val="353535"/>
          <w:sz w:val="20"/>
          <w:szCs w:val="20"/>
          <w:lang w:val="en-US"/>
        </w:rPr>
        <w:t>r</w:t>
      </w:r>
      <w:r w:rsidRPr="002668D5">
        <w:rPr>
          <w:rFonts w:ascii="Open Sans" w:hAnsi="Open Sans" w:cs="Open Sans"/>
          <w:color w:val="353535"/>
          <w:sz w:val="20"/>
          <w:szCs w:val="20"/>
          <w:lang w:val="en-US"/>
        </w:rPr>
        <w:t xml:space="preserve">age. This mechanism was implemented in the United States as a result of the 9-11 terrorist attacks under the Terrorism Risk Insurance Act (TRIA) which, following successive </w:t>
      </w:r>
      <w:proofErr w:type="gramStart"/>
      <w:r w:rsidRPr="002668D5">
        <w:rPr>
          <w:rFonts w:ascii="Open Sans" w:hAnsi="Open Sans" w:cs="Open Sans"/>
          <w:color w:val="353535"/>
          <w:sz w:val="20"/>
          <w:szCs w:val="20"/>
          <w:lang w:val="en-US"/>
        </w:rPr>
        <w:t>renewals,</w:t>
      </w:r>
      <w:proofErr w:type="gramEnd"/>
      <w:r w:rsidRPr="002668D5">
        <w:rPr>
          <w:rFonts w:ascii="Open Sans" w:hAnsi="Open Sans" w:cs="Open Sans"/>
          <w:color w:val="353535"/>
          <w:sz w:val="20"/>
          <w:szCs w:val="20"/>
          <w:lang w:val="en-US"/>
        </w:rPr>
        <w:t xml:space="preserve"> will expire on the 31st of Dece</w:t>
      </w:r>
      <w:r w:rsidRPr="002668D5">
        <w:rPr>
          <w:rFonts w:ascii="Open Sans" w:hAnsi="Open Sans" w:cs="Open Sans"/>
          <w:color w:val="353535"/>
          <w:sz w:val="20"/>
          <w:szCs w:val="20"/>
          <w:lang w:val="en-US"/>
        </w:rPr>
        <w:t>m</w:t>
      </w:r>
      <w:r w:rsidRPr="002668D5">
        <w:rPr>
          <w:rFonts w:ascii="Open Sans" w:hAnsi="Open Sans" w:cs="Open Sans"/>
          <w:color w:val="353535"/>
          <w:sz w:val="20"/>
          <w:szCs w:val="20"/>
          <w:lang w:val="en-US"/>
        </w:rPr>
        <w:t>ber this year. The meeting, through its various sessions, sought to contribute elements of refle</w:t>
      </w:r>
      <w:r w:rsidRPr="002668D5">
        <w:rPr>
          <w:rFonts w:ascii="Open Sans" w:hAnsi="Open Sans" w:cs="Open Sans"/>
          <w:color w:val="353535"/>
          <w:sz w:val="20"/>
          <w:szCs w:val="20"/>
          <w:lang w:val="en-US"/>
        </w:rPr>
        <w:t>c</w:t>
      </w:r>
      <w:r w:rsidRPr="002668D5">
        <w:rPr>
          <w:rFonts w:ascii="Open Sans" w:hAnsi="Open Sans" w:cs="Open Sans"/>
          <w:color w:val="353535"/>
          <w:sz w:val="20"/>
          <w:szCs w:val="20"/>
          <w:lang w:val="en-US"/>
        </w:rPr>
        <w:t>tion which could serve as a reference for those in the U.S. and in the rest of the world who are responsible for making the decisions as to how to manage terrorism risk from the insurance point of view.</w:t>
      </w:r>
    </w:p>
    <w:p w:rsidR="002668D5" w:rsidRPr="002668D5" w:rsidRDefault="002668D5" w:rsidP="002668D5">
      <w:pPr>
        <w:spacing w:line="345" w:lineRule="atLeast"/>
        <w:jc w:val="both"/>
        <w:rPr>
          <w:rFonts w:ascii="Open Sans" w:hAnsi="Open Sans" w:cs="Open Sans"/>
          <w:color w:val="353535"/>
          <w:sz w:val="20"/>
          <w:szCs w:val="20"/>
          <w:lang w:val="en-US"/>
        </w:rPr>
      </w:pPr>
      <w:r w:rsidRPr="002668D5">
        <w:rPr>
          <w:rFonts w:ascii="Open Sans" w:hAnsi="Open Sans" w:cs="Open Sans"/>
          <w:color w:val="353535"/>
          <w:sz w:val="20"/>
          <w:szCs w:val="20"/>
          <w:lang w:val="en-US"/>
        </w:rPr>
        <w:t>A range of groups were present among the large number of representatives in attendance: the U.S. and international reinsurance markets, together with brokers; rating agencies; research inst</w:t>
      </w:r>
      <w:r w:rsidRPr="002668D5">
        <w:rPr>
          <w:rFonts w:ascii="Open Sans" w:hAnsi="Open Sans" w:cs="Open Sans"/>
          <w:color w:val="353535"/>
          <w:sz w:val="20"/>
          <w:szCs w:val="20"/>
          <w:lang w:val="en-US"/>
        </w:rPr>
        <w:t>i</w:t>
      </w:r>
      <w:r w:rsidRPr="002668D5">
        <w:rPr>
          <w:rFonts w:ascii="Open Sans" w:hAnsi="Open Sans" w:cs="Open Sans"/>
          <w:color w:val="353535"/>
          <w:sz w:val="20"/>
          <w:szCs w:val="20"/>
          <w:lang w:val="en-US"/>
        </w:rPr>
        <w:t>tutes; risk modelling firms; the U.S. Department of the Treasury and the  terro</w:t>
      </w:r>
      <w:r w:rsidRPr="002668D5">
        <w:rPr>
          <w:rFonts w:ascii="Open Sans" w:hAnsi="Open Sans" w:cs="Open Sans"/>
          <w:color w:val="353535"/>
          <w:sz w:val="20"/>
          <w:szCs w:val="20"/>
          <w:lang w:val="en-US"/>
        </w:rPr>
        <w:t>r</w:t>
      </w:r>
      <w:r w:rsidRPr="002668D5">
        <w:rPr>
          <w:rFonts w:ascii="Open Sans" w:hAnsi="Open Sans" w:cs="Open Sans"/>
          <w:color w:val="353535"/>
          <w:sz w:val="20"/>
          <w:szCs w:val="20"/>
          <w:lang w:val="en-US"/>
        </w:rPr>
        <w:t xml:space="preserve">ism risk insurance systems of several countries, including the </w:t>
      </w:r>
      <w:proofErr w:type="spellStart"/>
      <w:r w:rsidRPr="002668D5">
        <w:rPr>
          <w:rFonts w:ascii="Open Sans" w:hAnsi="Open Sans" w:cs="Open Sans"/>
          <w:color w:val="353535"/>
          <w:sz w:val="20"/>
          <w:szCs w:val="20"/>
          <w:lang w:val="en-US"/>
        </w:rPr>
        <w:t>Consorcio</w:t>
      </w:r>
      <w:proofErr w:type="spellEnd"/>
      <w:r w:rsidRPr="002668D5">
        <w:rPr>
          <w:rFonts w:ascii="Open Sans" w:hAnsi="Open Sans" w:cs="Open Sans"/>
          <w:color w:val="353535"/>
          <w:sz w:val="20"/>
          <w:szCs w:val="20"/>
          <w:lang w:val="en-US"/>
        </w:rPr>
        <w:t xml:space="preserve"> de </w:t>
      </w:r>
      <w:proofErr w:type="spellStart"/>
      <w:r w:rsidRPr="002668D5">
        <w:rPr>
          <w:rFonts w:ascii="Open Sans" w:hAnsi="Open Sans" w:cs="Open Sans"/>
          <w:color w:val="353535"/>
          <w:sz w:val="20"/>
          <w:szCs w:val="20"/>
          <w:lang w:val="en-US"/>
        </w:rPr>
        <w:t>Compensación</w:t>
      </w:r>
      <w:proofErr w:type="spellEnd"/>
      <w:r w:rsidRPr="002668D5">
        <w:rPr>
          <w:rFonts w:ascii="Open Sans" w:hAnsi="Open Sans" w:cs="Open Sans"/>
          <w:color w:val="353535"/>
          <w:sz w:val="20"/>
          <w:szCs w:val="20"/>
          <w:lang w:val="en-US"/>
        </w:rPr>
        <w:t xml:space="preserve"> de </w:t>
      </w:r>
      <w:proofErr w:type="spellStart"/>
      <w:r w:rsidRPr="002668D5">
        <w:rPr>
          <w:rFonts w:ascii="Open Sans" w:hAnsi="Open Sans" w:cs="Open Sans"/>
          <w:color w:val="353535"/>
          <w:sz w:val="20"/>
          <w:szCs w:val="20"/>
          <w:lang w:val="en-US"/>
        </w:rPr>
        <w:t>Seguros</w:t>
      </w:r>
      <w:proofErr w:type="spellEnd"/>
      <w:r w:rsidRPr="002668D5">
        <w:rPr>
          <w:rFonts w:ascii="Open Sans" w:hAnsi="Open Sans" w:cs="Open Sans"/>
          <w:color w:val="353535"/>
          <w:sz w:val="20"/>
          <w:szCs w:val="20"/>
          <w:lang w:val="en-US"/>
        </w:rPr>
        <w:t xml:space="preserve"> (CCS).</w:t>
      </w:r>
    </w:p>
    <w:p w:rsidR="002668D5" w:rsidRDefault="002668D5" w:rsidP="002668D5">
      <w:pPr>
        <w:spacing w:line="345" w:lineRule="atLeast"/>
        <w:jc w:val="both"/>
        <w:rPr>
          <w:rFonts w:ascii="Open Sans" w:hAnsi="Open Sans" w:cs="Open Sans"/>
          <w:color w:val="353535"/>
          <w:sz w:val="20"/>
          <w:szCs w:val="20"/>
          <w:lang w:val="en-US"/>
        </w:rPr>
      </w:pPr>
      <w:r w:rsidRPr="002668D5">
        <w:rPr>
          <w:rFonts w:ascii="Open Sans" w:hAnsi="Open Sans" w:cs="Open Sans"/>
          <w:color w:val="353535"/>
          <w:sz w:val="20"/>
          <w:szCs w:val="20"/>
          <w:lang w:val="en-US"/>
        </w:rPr>
        <w:t xml:space="preserve">The meeting was </w:t>
      </w:r>
      <w:proofErr w:type="spellStart"/>
      <w:r w:rsidRPr="002668D5">
        <w:rPr>
          <w:rFonts w:ascii="Open Sans" w:hAnsi="Open Sans" w:cs="Open Sans"/>
          <w:color w:val="353535"/>
          <w:sz w:val="20"/>
          <w:szCs w:val="20"/>
          <w:lang w:val="en-US"/>
        </w:rPr>
        <w:t>organised</w:t>
      </w:r>
      <w:proofErr w:type="spellEnd"/>
      <w:r w:rsidRPr="002668D5">
        <w:rPr>
          <w:rFonts w:ascii="Open Sans" w:hAnsi="Open Sans" w:cs="Open Sans"/>
          <w:color w:val="353535"/>
          <w:sz w:val="20"/>
          <w:szCs w:val="20"/>
          <w:lang w:val="en-US"/>
        </w:rPr>
        <w:t xml:space="preserve"> into four sessions, with a varied content. An examination was made of the evolution of the terrorist threat, underlining the high level of risk detected at the present time, according to the experts. It also highlighted the difficulty of assessing a risk of this kind, but also the importance of risk modelling based on likely scenarios.</w:t>
      </w:r>
      <w:r w:rsidRPr="002668D5">
        <w:rPr>
          <w:rFonts w:ascii="Open Sans" w:hAnsi="Open Sans" w:cs="Open Sans"/>
          <w:color w:val="353535"/>
          <w:sz w:val="20"/>
          <w:szCs w:val="20"/>
          <w:lang w:val="en-US"/>
        </w:rPr>
        <w:br/>
        <w:t>In another of the sessions, the way some countries are present in terrorism insurance sol</w:t>
      </w:r>
      <w:r w:rsidRPr="002668D5">
        <w:rPr>
          <w:rFonts w:ascii="Open Sans" w:hAnsi="Open Sans" w:cs="Open Sans"/>
          <w:color w:val="353535"/>
          <w:sz w:val="20"/>
          <w:szCs w:val="20"/>
          <w:lang w:val="en-US"/>
        </w:rPr>
        <w:t>u</w:t>
      </w:r>
      <w:r w:rsidRPr="002668D5">
        <w:rPr>
          <w:rFonts w:ascii="Open Sans" w:hAnsi="Open Sans" w:cs="Open Sans"/>
          <w:color w:val="353535"/>
          <w:sz w:val="20"/>
          <w:szCs w:val="20"/>
          <w:lang w:val="en-US"/>
        </w:rPr>
        <w:t xml:space="preserve">tions was </w:t>
      </w:r>
      <w:proofErr w:type="spellStart"/>
      <w:r w:rsidRPr="002668D5">
        <w:rPr>
          <w:rFonts w:ascii="Open Sans" w:hAnsi="Open Sans" w:cs="Open Sans"/>
          <w:color w:val="353535"/>
          <w:sz w:val="20"/>
          <w:szCs w:val="20"/>
          <w:lang w:val="en-US"/>
        </w:rPr>
        <w:t>analysed</w:t>
      </w:r>
      <w:proofErr w:type="spellEnd"/>
      <w:r w:rsidRPr="002668D5">
        <w:rPr>
          <w:rFonts w:ascii="Open Sans" w:hAnsi="Open Sans" w:cs="Open Sans"/>
          <w:color w:val="353535"/>
          <w:sz w:val="20"/>
          <w:szCs w:val="20"/>
          <w:lang w:val="en-US"/>
        </w:rPr>
        <w:t>, focusing on public-private partnership formulas. In this context, the represent</w:t>
      </w:r>
      <w:r w:rsidRPr="002668D5">
        <w:rPr>
          <w:rFonts w:ascii="Open Sans" w:hAnsi="Open Sans" w:cs="Open Sans"/>
          <w:color w:val="353535"/>
          <w:sz w:val="20"/>
          <w:szCs w:val="20"/>
          <w:lang w:val="en-US"/>
        </w:rPr>
        <w:t>a</w:t>
      </w:r>
      <w:r w:rsidRPr="002668D5">
        <w:rPr>
          <w:rFonts w:ascii="Open Sans" w:hAnsi="Open Sans" w:cs="Open Sans"/>
          <w:color w:val="353535"/>
          <w:sz w:val="20"/>
          <w:szCs w:val="20"/>
          <w:lang w:val="en-US"/>
        </w:rPr>
        <w:t xml:space="preserve">tives of Pool Re (United Kingdom), </w:t>
      </w:r>
      <w:proofErr w:type="spellStart"/>
      <w:r w:rsidRPr="002668D5">
        <w:rPr>
          <w:rFonts w:ascii="Open Sans" w:hAnsi="Open Sans" w:cs="Open Sans"/>
          <w:color w:val="353535"/>
          <w:sz w:val="20"/>
          <w:szCs w:val="20"/>
          <w:lang w:val="en-US"/>
        </w:rPr>
        <w:t>Extremus</w:t>
      </w:r>
      <w:proofErr w:type="spellEnd"/>
      <w:r w:rsidRPr="002668D5">
        <w:rPr>
          <w:rFonts w:ascii="Open Sans" w:hAnsi="Open Sans" w:cs="Open Sans"/>
          <w:color w:val="353535"/>
          <w:sz w:val="20"/>
          <w:szCs w:val="20"/>
          <w:lang w:val="en-US"/>
        </w:rPr>
        <w:t xml:space="preserve"> (Germany), GAREAT (France), FSA (De</w:t>
      </w:r>
      <w:r w:rsidRPr="002668D5">
        <w:rPr>
          <w:rFonts w:ascii="Open Sans" w:hAnsi="Open Sans" w:cs="Open Sans"/>
          <w:color w:val="353535"/>
          <w:sz w:val="20"/>
          <w:szCs w:val="20"/>
          <w:lang w:val="en-US"/>
        </w:rPr>
        <w:t>n</w:t>
      </w:r>
      <w:r w:rsidRPr="002668D5">
        <w:rPr>
          <w:rFonts w:ascii="Open Sans" w:hAnsi="Open Sans" w:cs="Open Sans"/>
          <w:color w:val="353535"/>
          <w:sz w:val="20"/>
          <w:szCs w:val="20"/>
          <w:lang w:val="en-US"/>
        </w:rPr>
        <w:t>mark) and CCS (Spain) described the principal features of their respective systems.</w:t>
      </w:r>
    </w:p>
    <w:p w:rsidR="002668D5" w:rsidRDefault="002668D5" w:rsidP="002668D5">
      <w:pPr>
        <w:spacing w:line="345" w:lineRule="atLeast"/>
        <w:jc w:val="both"/>
        <w:rPr>
          <w:rFonts w:ascii="Open Sans" w:hAnsi="Open Sans" w:cs="Open Sans"/>
          <w:color w:val="353535"/>
          <w:sz w:val="20"/>
          <w:szCs w:val="20"/>
          <w:lang w:val="en-US"/>
        </w:rPr>
      </w:pPr>
      <w:r w:rsidRPr="002668D5">
        <w:rPr>
          <w:rFonts w:ascii="Open Sans" w:hAnsi="Open Sans" w:cs="Open Sans"/>
          <w:color w:val="353535"/>
          <w:sz w:val="20"/>
          <w:szCs w:val="20"/>
          <w:lang w:val="en-US"/>
        </w:rPr>
        <w:br/>
        <w:t>The meeting served as a framework for the presentation of the International Terrorism I</w:t>
      </w:r>
      <w:r w:rsidRPr="002668D5">
        <w:rPr>
          <w:rFonts w:ascii="Open Sans" w:hAnsi="Open Sans" w:cs="Open Sans"/>
          <w:color w:val="353535"/>
          <w:sz w:val="20"/>
          <w:szCs w:val="20"/>
          <w:lang w:val="en-US"/>
        </w:rPr>
        <w:t>n</w:t>
      </w:r>
      <w:r w:rsidRPr="002668D5">
        <w:rPr>
          <w:rFonts w:ascii="Open Sans" w:hAnsi="Open Sans" w:cs="Open Sans"/>
          <w:color w:val="353535"/>
          <w:sz w:val="20"/>
          <w:szCs w:val="20"/>
          <w:lang w:val="en-US"/>
        </w:rPr>
        <w:t>surance Platform (</w:t>
      </w:r>
      <w:hyperlink r:id="rId9" w:history="1">
        <w:r w:rsidRPr="002668D5">
          <w:rPr>
            <w:rStyle w:val="Hyperlink"/>
            <w:rFonts w:ascii="Open Sans" w:hAnsi="Open Sans" w:cs="Open Sans"/>
            <w:color w:val="A70B2C"/>
            <w:sz w:val="20"/>
            <w:szCs w:val="20"/>
            <w:lang w:val="en-US"/>
          </w:rPr>
          <w:t>http://www.oecd.org/daf/fin/insurance/terrorism-risk-insurance-programmes.htm</w:t>
        </w:r>
      </w:hyperlink>
      <w:r w:rsidRPr="002668D5">
        <w:rPr>
          <w:rFonts w:ascii="Open Sans" w:hAnsi="Open Sans" w:cs="Open Sans"/>
          <w:color w:val="353535"/>
          <w:sz w:val="20"/>
          <w:szCs w:val="20"/>
          <w:lang w:val="en-US"/>
        </w:rPr>
        <w:t xml:space="preserve">), a project managed by </w:t>
      </w:r>
      <w:proofErr w:type="gramStart"/>
      <w:r w:rsidRPr="002668D5">
        <w:rPr>
          <w:rFonts w:ascii="Open Sans" w:hAnsi="Open Sans" w:cs="Open Sans"/>
          <w:color w:val="353535"/>
          <w:sz w:val="20"/>
          <w:szCs w:val="20"/>
          <w:lang w:val="en-US"/>
        </w:rPr>
        <w:t>the  OECD</w:t>
      </w:r>
      <w:proofErr w:type="gramEnd"/>
      <w:r w:rsidRPr="002668D5">
        <w:rPr>
          <w:rFonts w:ascii="Open Sans" w:hAnsi="Open Sans" w:cs="Open Sans"/>
          <w:color w:val="353535"/>
          <w:sz w:val="20"/>
          <w:szCs w:val="20"/>
          <w:lang w:val="en-US"/>
        </w:rPr>
        <w:t xml:space="preserve"> High-Level Advisory Board on the Financial Management of Cata</w:t>
      </w:r>
      <w:r w:rsidRPr="002668D5">
        <w:rPr>
          <w:rFonts w:ascii="Open Sans" w:hAnsi="Open Sans" w:cs="Open Sans"/>
          <w:color w:val="353535"/>
          <w:sz w:val="20"/>
          <w:szCs w:val="20"/>
          <w:lang w:val="en-US"/>
        </w:rPr>
        <w:t>s</w:t>
      </w:r>
      <w:r w:rsidRPr="002668D5">
        <w:rPr>
          <w:rFonts w:ascii="Open Sans" w:hAnsi="Open Sans" w:cs="Open Sans"/>
          <w:color w:val="353535"/>
          <w:sz w:val="20"/>
          <w:szCs w:val="20"/>
          <w:lang w:val="en-US"/>
        </w:rPr>
        <w:t xml:space="preserve">trophes, where the CCS is represented. This platform, apart from containing information on the management of the risk of terrorism, is an instrument which offers a brief but clear description of 13 coverage </w:t>
      </w:r>
      <w:proofErr w:type="spellStart"/>
      <w:r w:rsidRPr="002668D5">
        <w:rPr>
          <w:rFonts w:ascii="Open Sans" w:hAnsi="Open Sans" w:cs="Open Sans"/>
          <w:color w:val="353535"/>
          <w:sz w:val="20"/>
          <w:szCs w:val="20"/>
          <w:lang w:val="en-US"/>
        </w:rPr>
        <w:t>programmes</w:t>
      </w:r>
      <w:proofErr w:type="spellEnd"/>
      <w:r w:rsidRPr="002668D5">
        <w:rPr>
          <w:rFonts w:ascii="Open Sans" w:hAnsi="Open Sans" w:cs="Open Sans"/>
          <w:color w:val="353535"/>
          <w:sz w:val="20"/>
          <w:szCs w:val="20"/>
          <w:lang w:val="en-US"/>
        </w:rPr>
        <w:t xml:space="preserve"> currently in effect throughout the world (including Spain’s), and with the  objective of reflecting the evolution of these </w:t>
      </w:r>
      <w:proofErr w:type="spellStart"/>
      <w:r w:rsidRPr="002668D5">
        <w:rPr>
          <w:rFonts w:ascii="Open Sans" w:hAnsi="Open Sans" w:cs="Open Sans"/>
          <w:color w:val="353535"/>
          <w:sz w:val="20"/>
          <w:szCs w:val="20"/>
          <w:lang w:val="en-US"/>
        </w:rPr>
        <w:t>programmes</w:t>
      </w:r>
      <w:proofErr w:type="spellEnd"/>
      <w:r w:rsidRPr="002668D5">
        <w:rPr>
          <w:rFonts w:ascii="Open Sans" w:hAnsi="Open Sans" w:cs="Open Sans"/>
          <w:color w:val="353535"/>
          <w:sz w:val="20"/>
          <w:szCs w:val="20"/>
          <w:lang w:val="en-US"/>
        </w:rPr>
        <w:t xml:space="preserve"> on a continuing basis.</w:t>
      </w:r>
    </w:p>
    <w:p w:rsidR="002668D5" w:rsidRPr="002668D5" w:rsidRDefault="002668D5" w:rsidP="002668D5">
      <w:pPr>
        <w:spacing w:line="345" w:lineRule="atLeast"/>
        <w:jc w:val="both"/>
        <w:rPr>
          <w:rFonts w:ascii="Open Sans" w:hAnsi="Open Sans" w:cs="Open Sans"/>
          <w:color w:val="353535"/>
          <w:sz w:val="20"/>
          <w:szCs w:val="20"/>
          <w:lang w:val="en-US"/>
        </w:rPr>
      </w:pPr>
    </w:p>
    <w:p w:rsidR="00457CA5" w:rsidRPr="003A6B4F" w:rsidRDefault="003A6B4F" w:rsidP="003A6B4F">
      <w:pPr>
        <w:pStyle w:val="Heading4"/>
        <w:spacing w:before="0" w:after="210"/>
        <w:jc w:val="both"/>
        <w:rPr>
          <w:rFonts w:ascii="Open Sans" w:hAnsi="Open Sans" w:cs="Open Sans"/>
          <w:b w:val="0"/>
          <w:i w:val="0"/>
          <w:sz w:val="20"/>
          <w:szCs w:val="20"/>
        </w:rPr>
      </w:pPr>
      <w:r>
        <w:rPr>
          <w:rFonts w:ascii="Open Sans" w:hAnsi="Open Sans" w:cs="Open Sans"/>
          <w:b w:val="0"/>
          <w:i w:val="0"/>
          <w:noProof/>
          <w:color w:val="353535"/>
          <w:sz w:val="20"/>
          <w:szCs w:val="20"/>
          <w:lang w:eastAsia="es-ES"/>
        </w:rPr>
        <w:lastRenderedPageBreak/>
        <w:drawing>
          <wp:inline distT="0" distB="0" distL="0" distR="0">
            <wp:extent cx="5762625" cy="4451350"/>
            <wp:effectExtent l="0" t="0" r="9525" b="6350"/>
            <wp:docPr id="13" name="Picture 13" descr="W:\Consorseguros\IMAGES\Sede del Departamento del Tesoro de los Estados Uni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Sede del Departamento del Tesoro de los Estados Unido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4451350"/>
                    </a:xfrm>
                    <a:prstGeom prst="rect">
                      <a:avLst/>
                    </a:prstGeom>
                    <a:noFill/>
                    <a:ln>
                      <a:noFill/>
                    </a:ln>
                  </pic:spPr>
                </pic:pic>
              </a:graphicData>
            </a:graphic>
          </wp:inline>
        </w:drawing>
      </w:r>
      <w:r w:rsidRPr="003A6B4F">
        <w:rPr>
          <w:rFonts w:ascii="Open Sans" w:hAnsi="Open Sans" w:cs="Open Sans"/>
          <w:b w:val="0"/>
          <w:i w:val="0"/>
          <w:color w:val="353535"/>
          <w:sz w:val="21"/>
          <w:szCs w:val="21"/>
        </w:rPr>
        <w:br/>
        <w:t> </w:t>
      </w:r>
    </w:p>
    <w:sectPr w:rsidR="00457CA5" w:rsidRPr="003A6B4F" w:rsidSect="00975F67">
      <w:headerReference w:type="default" r:id="rId11"/>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9E4" w:rsidRDefault="004019E4" w:rsidP="009B7A29">
      <w:pPr>
        <w:spacing w:after="0" w:line="240" w:lineRule="auto"/>
      </w:pPr>
      <w:r>
        <w:separator/>
      </w:r>
    </w:p>
  </w:endnote>
  <w:endnote w:type="continuationSeparator" w:id="0">
    <w:p w:rsidR="004019E4" w:rsidRDefault="004019E4"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2668D5" w:rsidRPr="002668D5">
            <w:rPr>
              <w:rFonts w:ascii="Open Sans" w:eastAsiaTheme="majorEastAsia" w:hAnsi="Open Sans" w:cs="Open Sans"/>
              <w:noProof/>
              <w:color w:val="808080" w:themeColor="background1" w:themeShade="80"/>
              <w:sz w:val="16"/>
              <w:szCs w:val="16"/>
            </w:rPr>
            <w:t>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EF2F77" w:rsidRPr="00EF2F77" w:rsidRDefault="00243FF6" w:rsidP="000325B0">
          <w:pPr>
            <w:pStyle w:val="Footer"/>
            <w:rPr>
              <w:rFonts w:ascii="Open Sans" w:hAnsi="Open Sans" w:cs="Open Sans"/>
              <w:noProof/>
              <w:color w:val="808080" w:themeColor="background1" w:themeShade="80"/>
              <w:sz w:val="16"/>
              <w:szCs w:val="16"/>
            </w:rPr>
          </w:pPr>
          <w:r>
            <w:rPr>
              <w:rFonts w:ascii="Open Sans" w:hAnsi="Open Sans" w:cs="Open Sans"/>
              <w:noProof/>
              <w:color w:val="808080" w:themeColor="background1" w:themeShade="80"/>
              <w:sz w:val="16"/>
              <w:szCs w:val="16"/>
            </w:rPr>
            <w:t xml:space="preserve">| </w:t>
          </w:r>
          <w:r w:rsidR="000325B0">
            <w:rPr>
              <w:rFonts w:ascii="Open Sans" w:hAnsi="Open Sans" w:cs="Open Sans"/>
              <w:noProof/>
              <w:color w:val="808080" w:themeColor="background1" w:themeShade="80"/>
              <w:sz w:val="16"/>
              <w:szCs w:val="16"/>
            </w:rPr>
            <w:t>Participación del CCS en la 3ª Conferencia Internacional de la OCDE sobre Seguro de Terrorismo</w:t>
          </w:r>
        </w:p>
      </w:tc>
    </w:tr>
  </w:tbl>
  <w:p w:rsidR="00243FF6" w:rsidRDefault="00243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9E4" w:rsidRDefault="004019E4" w:rsidP="009B7A29">
      <w:pPr>
        <w:spacing w:after="0" w:line="240" w:lineRule="auto"/>
      </w:pPr>
      <w:r>
        <w:separator/>
      </w:r>
    </w:p>
  </w:footnote>
  <w:footnote w:type="continuationSeparator" w:id="0">
    <w:p w:rsidR="004019E4" w:rsidRDefault="004019E4"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2D9AAA37" wp14:editId="2180C2BE">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CD7DC5">
          <w:pPr>
            <w:pStyle w:val="Header"/>
            <w:jc w:val="right"/>
            <w:rPr>
              <w:color w:val="FFFFFF" w:themeColor="background1"/>
              <w:sz w:val="18"/>
              <w:szCs w:val="18"/>
            </w:rPr>
          </w:pPr>
          <w:r w:rsidRPr="00A72331">
            <w:rPr>
              <w:b/>
              <w:color w:val="FFFFFF" w:themeColor="background1"/>
              <w:sz w:val="18"/>
              <w:szCs w:val="18"/>
            </w:rPr>
            <w:t xml:space="preserve">Número 01 </w:t>
          </w:r>
          <w:r w:rsidR="00CD7DC5">
            <w:rPr>
              <w:color w:val="FFFFFF" w:themeColor="background1"/>
              <w:sz w:val="18"/>
              <w:szCs w:val="18"/>
            </w:rPr>
            <w:t xml:space="preserve"> |  Septiembre</w:t>
          </w:r>
          <w:r w:rsidRPr="00A72331">
            <w:rPr>
              <w:color w:val="FFFFFF" w:themeColor="background1"/>
              <w:sz w:val="18"/>
              <w:szCs w:val="18"/>
            </w:rPr>
            <w:t xml:space="preserve"> de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325B0"/>
    <w:rsid w:val="00055F7A"/>
    <w:rsid w:val="000B2EE5"/>
    <w:rsid w:val="00104301"/>
    <w:rsid w:val="00114209"/>
    <w:rsid w:val="00115CA4"/>
    <w:rsid w:val="00121225"/>
    <w:rsid w:val="00171607"/>
    <w:rsid w:val="00173BFE"/>
    <w:rsid w:val="00181DBB"/>
    <w:rsid w:val="0018369F"/>
    <w:rsid w:val="00185FC2"/>
    <w:rsid w:val="00187C4D"/>
    <w:rsid w:val="001A1FF6"/>
    <w:rsid w:val="001A449C"/>
    <w:rsid w:val="001C210B"/>
    <w:rsid w:val="001C4705"/>
    <w:rsid w:val="002128AE"/>
    <w:rsid w:val="00231A17"/>
    <w:rsid w:val="00243FF6"/>
    <w:rsid w:val="00253DE1"/>
    <w:rsid w:val="00263802"/>
    <w:rsid w:val="002668D5"/>
    <w:rsid w:val="00275979"/>
    <w:rsid w:val="002B03E0"/>
    <w:rsid w:val="002B75C6"/>
    <w:rsid w:val="002D0D32"/>
    <w:rsid w:val="00300612"/>
    <w:rsid w:val="00314A37"/>
    <w:rsid w:val="00330D01"/>
    <w:rsid w:val="00333848"/>
    <w:rsid w:val="003622F8"/>
    <w:rsid w:val="0037445D"/>
    <w:rsid w:val="0038320C"/>
    <w:rsid w:val="00383E60"/>
    <w:rsid w:val="003A6B4F"/>
    <w:rsid w:val="003D35BB"/>
    <w:rsid w:val="003F4635"/>
    <w:rsid w:val="004019E4"/>
    <w:rsid w:val="00421A94"/>
    <w:rsid w:val="0045108A"/>
    <w:rsid w:val="00456BE5"/>
    <w:rsid w:val="00457CA5"/>
    <w:rsid w:val="004A632A"/>
    <w:rsid w:val="004D103F"/>
    <w:rsid w:val="004E00E9"/>
    <w:rsid w:val="005B2914"/>
    <w:rsid w:val="005B7159"/>
    <w:rsid w:val="005B7798"/>
    <w:rsid w:val="005C576B"/>
    <w:rsid w:val="005D560C"/>
    <w:rsid w:val="005E1715"/>
    <w:rsid w:val="005F40DA"/>
    <w:rsid w:val="006160B1"/>
    <w:rsid w:val="006766F1"/>
    <w:rsid w:val="006A5CCB"/>
    <w:rsid w:val="006D792D"/>
    <w:rsid w:val="0070116A"/>
    <w:rsid w:val="007167E4"/>
    <w:rsid w:val="00734588"/>
    <w:rsid w:val="0076660B"/>
    <w:rsid w:val="00784574"/>
    <w:rsid w:val="007D6399"/>
    <w:rsid w:val="0084611F"/>
    <w:rsid w:val="00881350"/>
    <w:rsid w:val="0089157D"/>
    <w:rsid w:val="008A6F90"/>
    <w:rsid w:val="008A7CC4"/>
    <w:rsid w:val="008C60D6"/>
    <w:rsid w:val="00916D80"/>
    <w:rsid w:val="00937ACC"/>
    <w:rsid w:val="009713B9"/>
    <w:rsid w:val="00975F67"/>
    <w:rsid w:val="009A3A8B"/>
    <w:rsid w:val="009B7A29"/>
    <w:rsid w:val="009E67F5"/>
    <w:rsid w:val="00A16AE1"/>
    <w:rsid w:val="00A35594"/>
    <w:rsid w:val="00A62FA9"/>
    <w:rsid w:val="00A663B3"/>
    <w:rsid w:val="00A67CE9"/>
    <w:rsid w:val="00A72331"/>
    <w:rsid w:val="00A75455"/>
    <w:rsid w:val="00A86D46"/>
    <w:rsid w:val="00AA1D2B"/>
    <w:rsid w:val="00AD1609"/>
    <w:rsid w:val="00AE688C"/>
    <w:rsid w:val="00AF6F20"/>
    <w:rsid w:val="00B13158"/>
    <w:rsid w:val="00B20598"/>
    <w:rsid w:val="00B205D1"/>
    <w:rsid w:val="00B33838"/>
    <w:rsid w:val="00B60991"/>
    <w:rsid w:val="00B61ACC"/>
    <w:rsid w:val="00B757DA"/>
    <w:rsid w:val="00B865E9"/>
    <w:rsid w:val="00B92EF2"/>
    <w:rsid w:val="00BA3E1F"/>
    <w:rsid w:val="00BC671C"/>
    <w:rsid w:val="00C038E2"/>
    <w:rsid w:val="00C2470A"/>
    <w:rsid w:val="00C36A47"/>
    <w:rsid w:val="00C5445E"/>
    <w:rsid w:val="00C86701"/>
    <w:rsid w:val="00C867C7"/>
    <w:rsid w:val="00CB686C"/>
    <w:rsid w:val="00CC783F"/>
    <w:rsid w:val="00CD7DC5"/>
    <w:rsid w:val="00D40725"/>
    <w:rsid w:val="00D80BC4"/>
    <w:rsid w:val="00D937C8"/>
    <w:rsid w:val="00DB1780"/>
    <w:rsid w:val="00DC3B9E"/>
    <w:rsid w:val="00DE38D4"/>
    <w:rsid w:val="00E564F2"/>
    <w:rsid w:val="00E70CD5"/>
    <w:rsid w:val="00E722DC"/>
    <w:rsid w:val="00EB6195"/>
    <w:rsid w:val="00ED5319"/>
    <w:rsid w:val="00EF2F77"/>
    <w:rsid w:val="00F365FB"/>
    <w:rsid w:val="00F375A1"/>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9620">
      <w:bodyDiv w:val="1"/>
      <w:marLeft w:val="0"/>
      <w:marRight w:val="0"/>
      <w:marTop w:val="0"/>
      <w:marBottom w:val="0"/>
      <w:divBdr>
        <w:top w:val="none" w:sz="0" w:space="0" w:color="auto"/>
        <w:left w:val="none" w:sz="0" w:space="0" w:color="auto"/>
        <w:bottom w:val="none" w:sz="0" w:space="0" w:color="auto"/>
        <w:right w:val="none" w:sz="0" w:space="0" w:color="auto"/>
      </w:divBdr>
    </w:div>
    <w:div w:id="159850604">
      <w:bodyDiv w:val="1"/>
      <w:marLeft w:val="0"/>
      <w:marRight w:val="0"/>
      <w:marTop w:val="0"/>
      <w:marBottom w:val="0"/>
      <w:divBdr>
        <w:top w:val="none" w:sz="0" w:space="0" w:color="auto"/>
        <w:left w:val="none" w:sz="0" w:space="0" w:color="auto"/>
        <w:bottom w:val="none" w:sz="0" w:space="0" w:color="auto"/>
        <w:right w:val="none" w:sz="0" w:space="0" w:color="auto"/>
      </w:divBdr>
    </w:div>
    <w:div w:id="206988761">
      <w:bodyDiv w:val="1"/>
      <w:marLeft w:val="0"/>
      <w:marRight w:val="0"/>
      <w:marTop w:val="0"/>
      <w:marBottom w:val="0"/>
      <w:divBdr>
        <w:top w:val="none" w:sz="0" w:space="0" w:color="auto"/>
        <w:left w:val="none" w:sz="0" w:space="0" w:color="auto"/>
        <w:bottom w:val="none" w:sz="0" w:space="0" w:color="auto"/>
        <w:right w:val="none" w:sz="0" w:space="0" w:color="auto"/>
      </w:divBdr>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554703624">
      <w:bodyDiv w:val="1"/>
      <w:marLeft w:val="0"/>
      <w:marRight w:val="0"/>
      <w:marTop w:val="0"/>
      <w:marBottom w:val="0"/>
      <w:divBdr>
        <w:top w:val="none" w:sz="0" w:space="0" w:color="auto"/>
        <w:left w:val="none" w:sz="0" w:space="0" w:color="auto"/>
        <w:bottom w:val="none" w:sz="0" w:space="0" w:color="auto"/>
        <w:right w:val="none" w:sz="0" w:space="0" w:color="auto"/>
      </w:divBdr>
    </w:div>
    <w:div w:id="582570402">
      <w:bodyDiv w:val="1"/>
      <w:marLeft w:val="0"/>
      <w:marRight w:val="0"/>
      <w:marTop w:val="0"/>
      <w:marBottom w:val="0"/>
      <w:divBdr>
        <w:top w:val="none" w:sz="0" w:space="0" w:color="auto"/>
        <w:left w:val="none" w:sz="0" w:space="0" w:color="auto"/>
        <w:bottom w:val="none" w:sz="0" w:space="0" w:color="auto"/>
        <w:right w:val="none" w:sz="0" w:space="0" w:color="auto"/>
      </w:divBdr>
      <w:divsChild>
        <w:div w:id="1560093519">
          <w:marLeft w:val="0"/>
          <w:marRight w:val="0"/>
          <w:marTop w:val="0"/>
          <w:marBottom w:val="150"/>
          <w:divBdr>
            <w:top w:val="none" w:sz="0" w:space="0" w:color="auto"/>
            <w:left w:val="none" w:sz="0" w:space="0" w:color="auto"/>
            <w:bottom w:val="none" w:sz="0" w:space="0" w:color="auto"/>
            <w:right w:val="none" w:sz="0" w:space="0" w:color="auto"/>
          </w:divBdr>
        </w:div>
        <w:div w:id="378019596">
          <w:marLeft w:val="0"/>
          <w:marRight w:val="0"/>
          <w:marTop w:val="0"/>
          <w:marBottom w:val="150"/>
          <w:divBdr>
            <w:top w:val="none" w:sz="0" w:space="0" w:color="auto"/>
            <w:left w:val="none" w:sz="0" w:space="0" w:color="auto"/>
            <w:bottom w:val="none" w:sz="0" w:space="0" w:color="auto"/>
            <w:right w:val="none" w:sz="0" w:space="0" w:color="auto"/>
          </w:divBdr>
        </w:div>
        <w:div w:id="717167634">
          <w:marLeft w:val="0"/>
          <w:marRight w:val="0"/>
          <w:marTop w:val="0"/>
          <w:marBottom w:val="150"/>
          <w:divBdr>
            <w:top w:val="none" w:sz="0" w:space="0" w:color="auto"/>
            <w:left w:val="none" w:sz="0" w:space="0" w:color="auto"/>
            <w:bottom w:val="none" w:sz="0" w:space="0" w:color="auto"/>
            <w:right w:val="none" w:sz="0" w:space="0" w:color="auto"/>
          </w:divBdr>
        </w:div>
        <w:div w:id="1720745950">
          <w:marLeft w:val="0"/>
          <w:marRight w:val="0"/>
          <w:marTop w:val="0"/>
          <w:marBottom w:val="150"/>
          <w:divBdr>
            <w:top w:val="none" w:sz="0" w:space="0" w:color="auto"/>
            <w:left w:val="none" w:sz="0" w:space="0" w:color="auto"/>
            <w:bottom w:val="none" w:sz="0" w:space="0" w:color="auto"/>
            <w:right w:val="none" w:sz="0" w:space="0" w:color="auto"/>
          </w:divBdr>
        </w:div>
        <w:div w:id="330957876">
          <w:marLeft w:val="0"/>
          <w:marRight w:val="0"/>
          <w:marTop w:val="0"/>
          <w:marBottom w:val="150"/>
          <w:divBdr>
            <w:top w:val="none" w:sz="0" w:space="0" w:color="auto"/>
            <w:left w:val="none" w:sz="0" w:space="0" w:color="auto"/>
            <w:bottom w:val="none" w:sz="0" w:space="0" w:color="auto"/>
            <w:right w:val="none" w:sz="0" w:space="0" w:color="auto"/>
          </w:divBdr>
        </w:div>
        <w:div w:id="1311859193">
          <w:marLeft w:val="0"/>
          <w:marRight w:val="0"/>
          <w:marTop w:val="0"/>
          <w:marBottom w:val="150"/>
          <w:divBdr>
            <w:top w:val="none" w:sz="0" w:space="0" w:color="auto"/>
            <w:left w:val="none" w:sz="0" w:space="0" w:color="auto"/>
            <w:bottom w:val="none" w:sz="0" w:space="0" w:color="auto"/>
            <w:right w:val="none" w:sz="0" w:space="0" w:color="auto"/>
          </w:divBdr>
        </w:div>
        <w:div w:id="1098869470">
          <w:marLeft w:val="0"/>
          <w:marRight w:val="0"/>
          <w:marTop w:val="0"/>
          <w:marBottom w:val="150"/>
          <w:divBdr>
            <w:top w:val="none" w:sz="0" w:space="0" w:color="auto"/>
            <w:left w:val="none" w:sz="0" w:space="0" w:color="auto"/>
            <w:bottom w:val="none" w:sz="0" w:space="0" w:color="auto"/>
            <w:right w:val="none" w:sz="0" w:space="0" w:color="auto"/>
          </w:divBdr>
        </w:div>
        <w:div w:id="2041664035">
          <w:marLeft w:val="0"/>
          <w:marRight w:val="0"/>
          <w:marTop w:val="0"/>
          <w:marBottom w:val="150"/>
          <w:divBdr>
            <w:top w:val="none" w:sz="0" w:space="0" w:color="auto"/>
            <w:left w:val="none" w:sz="0" w:space="0" w:color="auto"/>
            <w:bottom w:val="none" w:sz="0" w:space="0" w:color="auto"/>
            <w:right w:val="none" w:sz="0" w:space="0" w:color="auto"/>
          </w:divBdr>
        </w:div>
        <w:div w:id="429396634">
          <w:marLeft w:val="0"/>
          <w:marRight w:val="0"/>
          <w:marTop w:val="0"/>
          <w:marBottom w:val="150"/>
          <w:divBdr>
            <w:top w:val="none" w:sz="0" w:space="0" w:color="auto"/>
            <w:left w:val="none" w:sz="0" w:space="0" w:color="auto"/>
            <w:bottom w:val="none" w:sz="0" w:space="0" w:color="auto"/>
            <w:right w:val="none" w:sz="0" w:space="0" w:color="auto"/>
          </w:divBdr>
        </w:div>
        <w:div w:id="849805323">
          <w:marLeft w:val="0"/>
          <w:marRight w:val="0"/>
          <w:marTop w:val="0"/>
          <w:marBottom w:val="150"/>
          <w:divBdr>
            <w:top w:val="none" w:sz="0" w:space="0" w:color="auto"/>
            <w:left w:val="none" w:sz="0" w:space="0" w:color="auto"/>
            <w:bottom w:val="none" w:sz="0" w:space="0" w:color="auto"/>
            <w:right w:val="none" w:sz="0" w:space="0" w:color="auto"/>
          </w:divBdr>
          <w:divsChild>
            <w:div w:id="1739791517">
              <w:marLeft w:val="0"/>
              <w:marRight w:val="0"/>
              <w:marTop w:val="0"/>
              <w:marBottom w:val="0"/>
              <w:divBdr>
                <w:top w:val="none" w:sz="0" w:space="0" w:color="auto"/>
                <w:left w:val="none" w:sz="0" w:space="0" w:color="auto"/>
                <w:bottom w:val="none" w:sz="0" w:space="0" w:color="auto"/>
                <w:right w:val="none" w:sz="0" w:space="0" w:color="auto"/>
              </w:divBdr>
              <w:divsChild>
                <w:div w:id="1158231043">
                  <w:marLeft w:val="0"/>
                  <w:marRight w:val="0"/>
                  <w:marTop w:val="0"/>
                  <w:marBottom w:val="0"/>
                  <w:divBdr>
                    <w:top w:val="none" w:sz="0" w:space="0" w:color="A70B2C"/>
                    <w:left w:val="none" w:sz="0" w:space="0" w:color="A70B2C"/>
                    <w:bottom w:val="none" w:sz="0" w:space="0" w:color="A70B2C"/>
                    <w:right w:val="none" w:sz="0" w:space="0" w:color="A70B2C"/>
                  </w:divBdr>
                  <w:divsChild>
                    <w:div w:id="554008390">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961812128">
          <w:marLeft w:val="0"/>
          <w:marRight w:val="0"/>
          <w:marTop w:val="0"/>
          <w:marBottom w:val="150"/>
          <w:divBdr>
            <w:top w:val="none" w:sz="0" w:space="0" w:color="auto"/>
            <w:left w:val="none" w:sz="0" w:space="0" w:color="auto"/>
            <w:bottom w:val="none" w:sz="0" w:space="0" w:color="auto"/>
            <w:right w:val="none" w:sz="0" w:space="0" w:color="auto"/>
          </w:divBdr>
        </w:div>
        <w:div w:id="91627327">
          <w:marLeft w:val="0"/>
          <w:marRight w:val="0"/>
          <w:marTop w:val="0"/>
          <w:marBottom w:val="150"/>
          <w:divBdr>
            <w:top w:val="none" w:sz="0" w:space="0" w:color="auto"/>
            <w:left w:val="none" w:sz="0" w:space="0" w:color="auto"/>
            <w:bottom w:val="none" w:sz="0" w:space="0" w:color="auto"/>
            <w:right w:val="none" w:sz="0" w:space="0" w:color="auto"/>
          </w:divBdr>
        </w:div>
        <w:div w:id="1332486471">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039936708">
      <w:bodyDiv w:val="1"/>
      <w:marLeft w:val="0"/>
      <w:marRight w:val="0"/>
      <w:marTop w:val="0"/>
      <w:marBottom w:val="0"/>
      <w:divBdr>
        <w:top w:val="none" w:sz="0" w:space="0" w:color="auto"/>
        <w:left w:val="none" w:sz="0" w:space="0" w:color="auto"/>
        <w:bottom w:val="none" w:sz="0" w:space="0" w:color="auto"/>
        <w:right w:val="none" w:sz="0" w:space="0" w:color="auto"/>
      </w:divBdr>
      <w:divsChild>
        <w:div w:id="991830178">
          <w:marLeft w:val="0"/>
          <w:marRight w:val="0"/>
          <w:marTop w:val="0"/>
          <w:marBottom w:val="150"/>
          <w:divBdr>
            <w:top w:val="none" w:sz="0" w:space="0" w:color="auto"/>
            <w:left w:val="none" w:sz="0" w:space="0" w:color="auto"/>
            <w:bottom w:val="none" w:sz="0" w:space="0" w:color="auto"/>
            <w:right w:val="none" w:sz="0" w:space="0" w:color="auto"/>
          </w:divBdr>
        </w:div>
        <w:div w:id="199387433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00721734">
      <w:bodyDiv w:val="1"/>
      <w:marLeft w:val="0"/>
      <w:marRight w:val="0"/>
      <w:marTop w:val="0"/>
      <w:marBottom w:val="0"/>
      <w:divBdr>
        <w:top w:val="none" w:sz="0" w:space="0" w:color="auto"/>
        <w:left w:val="none" w:sz="0" w:space="0" w:color="auto"/>
        <w:bottom w:val="none" w:sz="0" w:space="0" w:color="auto"/>
        <w:right w:val="none" w:sz="0" w:space="0" w:color="auto"/>
      </w:divBdr>
    </w:div>
    <w:div w:id="1358849868">
      <w:bodyDiv w:val="1"/>
      <w:marLeft w:val="0"/>
      <w:marRight w:val="0"/>
      <w:marTop w:val="0"/>
      <w:marBottom w:val="0"/>
      <w:divBdr>
        <w:top w:val="none" w:sz="0" w:space="0" w:color="auto"/>
        <w:left w:val="none" w:sz="0" w:space="0" w:color="auto"/>
        <w:bottom w:val="none" w:sz="0" w:space="0" w:color="auto"/>
        <w:right w:val="none" w:sz="0" w:space="0" w:color="auto"/>
      </w:divBdr>
    </w:div>
    <w:div w:id="1368682018">
      <w:bodyDiv w:val="1"/>
      <w:marLeft w:val="0"/>
      <w:marRight w:val="0"/>
      <w:marTop w:val="0"/>
      <w:marBottom w:val="0"/>
      <w:divBdr>
        <w:top w:val="none" w:sz="0" w:space="0" w:color="auto"/>
        <w:left w:val="none" w:sz="0" w:space="0" w:color="auto"/>
        <w:bottom w:val="none" w:sz="0" w:space="0" w:color="auto"/>
        <w:right w:val="none" w:sz="0" w:space="0" w:color="auto"/>
      </w:divBdr>
      <w:divsChild>
        <w:div w:id="293490556">
          <w:marLeft w:val="0"/>
          <w:marRight w:val="0"/>
          <w:marTop w:val="0"/>
          <w:marBottom w:val="150"/>
          <w:divBdr>
            <w:top w:val="none" w:sz="0" w:space="0" w:color="auto"/>
            <w:left w:val="none" w:sz="0" w:space="0" w:color="auto"/>
            <w:bottom w:val="none" w:sz="0" w:space="0" w:color="auto"/>
            <w:right w:val="none" w:sz="0" w:space="0" w:color="auto"/>
          </w:divBdr>
          <w:divsChild>
            <w:div w:id="357506050">
              <w:marLeft w:val="0"/>
              <w:marRight w:val="0"/>
              <w:marTop w:val="75"/>
              <w:marBottom w:val="150"/>
              <w:divBdr>
                <w:top w:val="none" w:sz="0" w:space="0" w:color="auto"/>
                <w:left w:val="none" w:sz="0" w:space="0" w:color="auto"/>
                <w:bottom w:val="none" w:sz="0" w:space="0" w:color="auto"/>
                <w:right w:val="none" w:sz="0" w:space="0" w:color="auto"/>
              </w:divBdr>
            </w:div>
          </w:divsChild>
        </w:div>
        <w:div w:id="2115248320">
          <w:marLeft w:val="0"/>
          <w:marRight w:val="0"/>
          <w:marTop w:val="0"/>
          <w:marBottom w:val="150"/>
          <w:divBdr>
            <w:top w:val="none" w:sz="0" w:space="0" w:color="auto"/>
            <w:left w:val="none" w:sz="0" w:space="0" w:color="auto"/>
            <w:bottom w:val="none" w:sz="0" w:space="0" w:color="auto"/>
            <w:right w:val="none" w:sz="0" w:space="0" w:color="auto"/>
          </w:divBdr>
          <w:divsChild>
            <w:div w:id="1421684139">
              <w:marLeft w:val="0"/>
              <w:marRight w:val="0"/>
              <w:marTop w:val="75"/>
              <w:marBottom w:val="150"/>
              <w:divBdr>
                <w:top w:val="none" w:sz="0" w:space="0" w:color="auto"/>
                <w:left w:val="none" w:sz="0" w:space="0" w:color="auto"/>
                <w:bottom w:val="none" w:sz="0" w:space="0" w:color="auto"/>
                <w:right w:val="none" w:sz="0" w:space="0" w:color="auto"/>
              </w:divBdr>
            </w:div>
          </w:divsChild>
        </w:div>
        <w:div w:id="894857702">
          <w:marLeft w:val="0"/>
          <w:marRight w:val="0"/>
          <w:marTop w:val="0"/>
          <w:marBottom w:val="150"/>
          <w:divBdr>
            <w:top w:val="none" w:sz="0" w:space="0" w:color="auto"/>
            <w:left w:val="none" w:sz="0" w:space="0" w:color="auto"/>
            <w:bottom w:val="none" w:sz="0" w:space="0" w:color="auto"/>
            <w:right w:val="none" w:sz="0" w:space="0" w:color="auto"/>
          </w:divBdr>
          <w:divsChild>
            <w:div w:id="1802726335">
              <w:marLeft w:val="0"/>
              <w:marRight w:val="0"/>
              <w:marTop w:val="75"/>
              <w:marBottom w:val="150"/>
              <w:divBdr>
                <w:top w:val="none" w:sz="0" w:space="0" w:color="auto"/>
                <w:left w:val="none" w:sz="0" w:space="0" w:color="auto"/>
                <w:bottom w:val="none" w:sz="0" w:space="0" w:color="auto"/>
                <w:right w:val="none" w:sz="0" w:space="0" w:color="auto"/>
              </w:divBdr>
            </w:div>
          </w:divsChild>
        </w:div>
        <w:div w:id="1441222612">
          <w:marLeft w:val="0"/>
          <w:marRight w:val="0"/>
          <w:marTop w:val="0"/>
          <w:marBottom w:val="150"/>
          <w:divBdr>
            <w:top w:val="none" w:sz="0" w:space="0" w:color="auto"/>
            <w:left w:val="none" w:sz="0" w:space="0" w:color="auto"/>
            <w:bottom w:val="none" w:sz="0" w:space="0" w:color="auto"/>
            <w:right w:val="none" w:sz="0" w:space="0" w:color="auto"/>
          </w:divBdr>
          <w:divsChild>
            <w:div w:id="709064027">
              <w:marLeft w:val="0"/>
              <w:marRight w:val="0"/>
              <w:marTop w:val="75"/>
              <w:marBottom w:val="150"/>
              <w:divBdr>
                <w:top w:val="none" w:sz="0" w:space="0" w:color="auto"/>
                <w:left w:val="none" w:sz="0" w:space="0" w:color="auto"/>
                <w:bottom w:val="none" w:sz="0" w:space="0" w:color="auto"/>
                <w:right w:val="none" w:sz="0" w:space="0" w:color="auto"/>
              </w:divBdr>
            </w:div>
          </w:divsChild>
        </w:div>
        <w:div w:id="1237782769">
          <w:marLeft w:val="0"/>
          <w:marRight w:val="0"/>
          <w:marTop w:val="0"/>
          <w:marBottom w:val="150"/>
          <w:divBdr>
            <w:top w:val="none" w:sz="0" w:space="0" w:color="auto"/>
            <w:left w:val="none" w:sz="0" w:space="0" w:color="auto"/>
            <w:bottom w:val="none" w:sz="0" w:space="0" w:color="auto"/>
            <w:right w:val="none" w:sz="0" w:space="0" w:color="auto"/>
          </w:divBdr>
          <w:divsChild>
            <w:div w:id="243957147">
              <w:marLeft w:val="0"/>
              <w:marRight w:val="0"/>
              <w:marTop w:val="75"/>
              <w:marBottom w:val="150"/>
              <w:divBdr>
                <w:top w:val="none" w:sz="0" w:space="0" w:color="auto"/>
                <w:left w:val="none" w:sz="0" w:space="0" w:color="auto"/>
                <w:bottom w:val="none" w:sz="0" w:space="0" w:color="auto"/>
                <w:right w:val="none" w:sz="0" w:space="0" w:color="auto"/>
              </w:divBdr>
            </w:div>
          </w:divsChild>
        </w:div>
        <w:div w:id="858277853">
          <w:marLeft w:val="0"/>
          <w:marRight w:val="0"/>
          <w:marTop w:val="0"/>
          <w:marBottom w:val="150"/>
          <w:divBdr>
            <w:top w:val="none" w:sz="0" w:space="0" w:color="auto"/>
            <w:left w:val="none" w:sz="0" w:space="0" w:color="auto"/>
            <w:bottom w:val="none" w:sz="0" w:space="0" w:color="auto"/>
            <w:right w:val="none" w:sz="0" w:space="0" w:color="auto"/>
          </w:divBdr>
          <w:divsChild>
            <w:div w:id="1987316104">
              <w:marLeft w:val="0"/>
              <w:marRight w:val="0"/>
              <w:marTop w:val="75"/>
              <w:marBottom w:val="150"/>
              <w:divBdr>
                <w:top w:val="none" w:sz="0" w:space="0" w:color="auto"/>
                <w:left w:val="none" w:sz="0" w:space="0" w:color="auto"/>
                <w:bottom w:val="none" w:sz="0" w:space="0" w:color="auto"/>
                <w:right w:val="none" w:sz="0" w:space="0" w:color="auto"/>
              </w:divBdr>
            </w:div>
          </w:divsChild>
        </w:div>
        <w:div w:id="988704604">
          <w:marLeft w:val="0"/>
          <w:marRight w:val="0"/>
          <w:marTop w:val="0"/>
          <w:marBottom w:val="150"/>
          <w:divBdr>
            <w:top w:val="none" w:sz="0" w:space="0" w:color="auto"/>
            <w:left w:val="none" w:sz="0" w:space="0" w:color="auto"/>
            <w:bottom w:val="none" w:sz="0" w:space="0" w:color="auto"/>
            <w:right w:val="none" w:sz="0" w:space="0" w:color="auto"/>
          </w:divBdr>
          <w:divsChild>
            <w:div w:id="371613954">
              <w:marLeft w:val="0"/>
              <w:marRight w:val="0"/>
              <w:marTop w:val="75"/>
              <w:marBottom w:val="150"/>
              <w:divBdr>
                <w:top w:val="none" w:sz="0" w:space="0" w:color="auto"/>
                <w:left w:val="none" w:sz="0" w:space="0" w:color="auto"/>
                <w:bottom w:val="none" w:sz="0" w:space="0" w:color="auto"/>
                <w:right w:val="none" w:sz="0" w:space="0" w:color="auto"/>
              </w:divBdr>
            </w:div>
          </w:divsChild>
        </w:div>
        <w:div w:id="727604591">
          <w:marLeft w:val="0"/>
          <w:marRight w:val="0"/>
          <w:marTop w:val="0"/>
          <w:marBottom w:val="150"/>
          <w:divBdr>
            <w:top w:val="none" w:sz="0" w:space="0" w:color="auto"/>
            <w:left w:val="none" w:sz="0" w:space="0" w:color="auto"/>
            <w:bottom w:val="none" w:sz="0" w:space="0" w:color="auto"/>
            <w:right w:val="none" w:sz="0" w:space="0" w:color="auto"/>
          </w:divBdr>
          <w:divsChild>
            <w:div w:id="1362126032">
              <w:marLeft w:val="0"/>
              <w:marRight w:val="0"/>
              <w:marTop w:val="75"/>
              <w:marBottom w:val="150"/>
              <w:divBdr>
                <w:top w:val="none" w:sz="0" w:space="0" w:color="auto"/>
                <w:left w:val="none" w:sz="0" w:space="0" w:color="auto"/>
                <w:bottom w:val="none" w:sz="0" w:space="0" w:color="auto"/>
                <w:right w:val="none" w:sz="0" w:space="0" w:color="auto"/>
              </w:divBdr>
            </w:div>
          </w:divsChild>
        </w:div>
        <w:div w:id="374041957">
          <w:marLeft w:val="0"/>
          <w:marRight w:val="0"/>
          <w:marTop w:val="0"/>
          <w:marBottom w:val="150"/>
          <w:divBdr>
            <w:top w:val="none" w:sz="0" w:space="0" w:color="auto"/>
            <w:left w:val="none" w:sz="0" w:space="0" w:color="auto"/>
            <w:bottom w:val="none" w:sz="0" w:space="0" w:color="auto"/>
            <w:right w:val="none" w:sz="0" w:space="0" w:color="auto"/>
          </w:divBdr>
          <w:divsChild>
            <w:div w:id="1604993339">
              <w:marLeft w:val="0"/>
              <w:marRight w:val="0"/>
              <w:marTop w:val="240"/>
              <w:marBottom w:val="240"/>
              <w:divBdr>
                <w:top w:val="none" w:sz="0" w:space="0" w:color="auto"/>
                <w:left w:val="none" w:sz="0" w:space="0" w:color="auto"/>
                <w:bottom w:val="none" w:sz="0" w:space="0" w:color="auto"/>
                <w:right w:val="none" w:sz="0" w:space="0" w:color="auto"/>
              </w:divBdr>
              <w:divsChild>
                <w:div w:id="3312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5390">
          <w:marLeft w:val="0"/>
          <w:marRight w:val="0"/>
          <w:marTop w:val="0"/>
          <w:marBottom w:val="150"/>
          <w:divBdr>
            <w:top w:val="none" w:sz="0" w:space="0" w:color="auto"/>
            <w:left w:val="none" w:sz="0" w:space="0" w:color="auto"/>
            <w:bottom w:val="none" w:sz="0" w:space="0" w:color="auto"/>
            <w:right w:val="none" w:sz="0" w:space="0" w:color="auto"/>
          </w:divBdr>
        </w:div>
        <w:div w:id="20277800">
          <w:marLeft w:val="0"/>
          <w:marRight w:val="0"/>
          <w:marTop w:val="0"/>
          <w:marBottom w:val="150"/>
          <w:divBdr>
            <w:top w:val="none" w:sz="0" w:space="0" w:color="auto"/>
            <w:left w:val="none" w:sz="0" w:space="0" w:color="auto"/>
            <w:bottom w:val="none" w:sz="0" w:space="0" w:color="auto"/>
            <w:right w:val="none" w:sz="0" w:space="0" w:color="auto"/>
          </w:divBdr>
          <w:divsChild>
            <w:div w:id="1199927330">
              <w:marLeft w:val="0"/>
              <w:marRight w:val="0"/>
              <w:marTop w:val="240"/>
              <w:marBottom w:val="240"/>
              <w:divBdr>
                <w:top w:val="none" w:sz="0" w:space="0" w:color="auto"/>
                <w:left w:val="none" w:sz="0" w:space="0" w:color="auto"/>
                <w:bottom w:val="none" w:sz="0" w:space="0" w:color="auto"/>
                <w:right w:val="none" w:sz="0" w:space="0" w:color="auto"/>
              </w:divBdr>
              <w:divsChild>
                <w:div w:id="7247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8426">
          <w:marLeft w:val="0"/>
          <w:marRight w:val="0"/>
          <w:marTop w:val="0"/>
          <w:marBottom w:val="150"/>
          <w:divBdr>
            <w:top w:val="none" w:sz="0" w:space="0" w:color="auto"/>
            <w:left w:val="none" w:sz="0" w:space="0" w:color="auto"/>
            <w:bottom w:val="none" w:sz="0" w:space="0" w:color="auto"/>
            <w:right w:val="none" w:sz="0" w:space="0" w:color="auto"/>
          </w:divBdr>
        </w:div>
        <w:div w:id="791705632">
          <w:marLeft w:val="0"/>
          <w:marRight w:val="0"/>
          <w:marTop w:val="0"/>
          <w:marBottom w:val="150"/>
          <w:divBdr>
            <w:top w:val="none" w:sz="0" w:space="0" w:color="auto"/>
            <w:left w:val="none" w:sz="0" w:space="0" w:color="auto"/>
            <w:bottom w:val="none" w:sz="0" w:space="0" w:color="auto"/>
            <w:right w:val="none" w:sz="0" w:space="0" w:color="auto"/>
          </w:divBdr>
          <w:divsChild>
            <w:div w:id="94133172">
              <w:marLeft w:val="0"/>
              <w:marRight w:val="0"/>
              <w:marTop w:val="240"/>
              <w:marBottom w:val="240"/>
              <w:divBdr>
                <w:top w:val="none" w:sz="0" w:space="0" w:color="auto"/>
                <w:left w:val="none" w:sz="0" w:space="0" w:color="auto"/>
                <w:bottom w:val="none" w:sz="0" w:space="0" w:color="auto"/>
                <w:right w:val="none" w:sz="0" w:space="0" w:color="auto"/>
              </w:divBdr>
              <w:divsChild>
                <w:div w:id="900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6275">
          <w:marLeft w:val="0"/>
          <w:marRight w:val="0"/>
          <w:marTop w:val="0"/>
          <w:marBottom w:val="150"/>
          <w:divBdr>
            <w:top w:val="none" w:sz="0" w:space="0" w:color="auto"/>
            <w:left w:val="none" w:sz="0" w:space="0" w:color="auto"/>
            <w:bottom w:val="none" w:sz="0" w:space="0" w:color="auto"/>
            <w:right w:val="none" w:sz="0" w:space="0" w:color="auto"/>
          </w:divBdr>
        </w:div>
        <w:div w:id="251280639">
          <w:marLeft w:val="0"/>
          <w:marRight w:val="0"/>
          <w:marTop w:val="0"/>
          <w:marBottom w:val="150"/>
          <w:divBdr>
            <w:top w:val="none" w:sz="0" w:space="0" w:color="auto"/>
            <w:left w:val="none" w:sz="0" w:space="0" w:color="auto"/>
            <w:bottom w:val="none" w:sz="0" w:space="0" w:color="auto"/>
            <w:right w:val="none" w:sz="0" w:space="0" w:color="auto"/>
          </w:divBdr>
          <w:divsChild>
            <w:div w:id="1255745612">
              <w:marLeft w:val="0"/>
              <w:marRight w:val="0"/>
              <w:marTop w:val="240"/>
              <w:marBottom w:val="24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03067">
          <w:marLeft w:val="0"/>
          <w:marRight w:val="0"/>
          <w:marTop w:val="0"/>
          <w:marBottom w:val="150"/>
          <w:divBdr>
            <w:top w:val="none" w:sz="0" w:space="0" w:color="auto"/>
            <w:left w:val="none" w:sz="0" w:space="0" w:color="auto"/>
            <w:bottom w:val="none" w:sz="0" w:space="0" w:color="auto"/>
            <w:right w:val="none" w:sz="0" w:space="0" w:color="auto"/>
          </w:divBdr>
        </w:div>
        <w:div w:id="1358120293">
          <w:marLeft w:val="0"/>
          <w:marRight w:val="0"/>
          <w:marTop w:val="0"/>
          <w:marBottom w:val="150"/>
          <w:divBdr>
            <w:top w:val="none" w:sz="0" w:space="0" w:color="auto"/>
            <w:left w:val="none" w:sz="0" w:space="0" w:color="auto"/>
            <w:bottom w:val="none" w:sz="0" w:space="0" w:color="auto"/>
            <w:right w:val="none" w:sz="0" w:space="0" w:color="auto"/>
          </w:divBdr>
          <w:divsChild>
            <w:div w:id="151876982">
              <w:marLeft w:val="0"/>
              <w:marRight w:val="0"/>
              <w:marTop w:val="240"/>
              <w:marBottom w:val="240"/>
              <w:divBdr>
                <w:top w:val="none" w:sz="0" w:space="0" w:color="auto"/>
                <w:left w:val="none" w:sz="0" w:space="0" w:color="auto"/>
                <w:bottom w:val="none" w:sz="0" w:space="0" w:color="auto"/>
                <w:right w:val="none" w:sz="0" w:space="0" w:color="auto"/>
              </w:divBdr>
              <w:divsChild>
                <w:div w:id="10790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93">
          <w:marLeft w:val="0"/>
          <w:marRight w:val="0"/>
          <w:marTop w:val="0"/>
          <w:marBottom w:val="150"/>
          <w:divBdr>
            <w:top w:val="none" w:sz="0" w:space="0" w:color="auto"/>
            <w:left w:val="none" w:sz="0" w:space="0" w:color="auto"/>
            <w:bottom w:val="none" w:sz="0" w:space="0" w:color="auto"/>
            <w:right w:val="none" w:sz="0" w:space="0" w:color="auto"/>
          </w:divBdr>
        </w:div>
        <w:div w:id="1709450881">
          <w:marLeft w:val="0"/>
          <w:marRight w:val="0"/>
          <w:marTop w:val="0"/>
          <w:marBottom w:val="150"/>
          <w:divBdr>
            <w:top w:val="none" w:sz="0" w:space="0" w:color="auto"/>
            <w:left w:val="none" w:sz="0" w:space="0" w:color="auto"/>
            <w:bottom w:val="none" w:sz="0" w:space="0" w:color="auto"/>
            <w:right w:val="none" w:sz="0" w:space="0" w:color="auto"/>
          </w:divBdr>
          <w:divsChild>
            <w:div w:id="878274049">
              <w:marLeft w:val="0"/>
              <w:marRight w:val="0"/>
              <w:marTop w:val="240"/>
              <w:marBottom w:val="240"/>
              <w:divBdr>
                <w:top w:val="none" w:sz="0" w:space="0" w:color="auto"/>
                <w:left w:val="none" w:sz="0" w:space="0" w:color="auto"/>
                <w:bottom w:val="none" w:sz="0" w:space="0" w:color="auto"/>
                <w:right w:val="none" w:sz="0" w:space="0" w:color="auto"/>
              </w:divBdr>
              <w:divsChild>
                <w:div w:id="14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3766">
          <w:marLeft w:val="0"/>
          <w:marRight w:val="0"/>
          <w:marTop w:val="0"/>
          <w:marBottom w:val="150"/>
          <w:divBdr>
            <w:top w:val="none" w:sz="0" w:space="0" w:color="auto"/>
            <w:left w:val="none" w:sz="0" w:space="0" w:color="auto"/>
            <w:bottom w:val="none" w:sz="0" w:space="0" w:color="auto"/>
            <w:right w:val="none" w:sz="0" w:space="0" w:color="auto"/>
          </w:divBdr>
          <w:divsChild>
            <w:div w:id="696466517">
              <w:marLeft w:val="0"/>
              <w:marRight w:val="0"/>
              <w:marTop w:val="75"/>
              <w:marBottom w:val="150"/>
              <w:divBdr>
                <w:top w:val="none" w:sz="0" w:space="0" w:color="auto"/>
                <w:left w:val="none" w:sz="0" w:space="0" w:color="auto"/>
                <w:bottom w:val="none" w:sz="0" w:space="0" w:color="auto"/>
                <w:right w:val="none" w:sz="0" w:space="0" w:color="auto"/>
              </w:divBdr>
            </w:div>
          </w:divsChild>
        </w:div>
        <w:div w:id="837185592">
          <w:marLeft w:val="0"/>
          <w:marRight w:val="0"/>
          <w:marTop w:val="0"/>
          <w:marBottom w:val="150"/>
          <w:divBdr>
            <w:top w:val="none" w:sz="0" w:space="0" w:color="auto"/>
            <w:left w:val="none" w:sz="0" w:space="0" w:color="auto"/>
            <w:bottom w:val="none" w:sz="0" w:space="0" w:color="auto"/>
            <w:right w:val="none" w:sz="0" w:space="0" w:color="auto"/>
          </w:divBdr>
          <w:divsChild>
            <w:div w:id="1362127684">
              <w:marLeft w:val="0"/>
              <w:marRight w:val="0"/>
              <w:marTop w:val="240"/>
              <w:marBottom w:val="240"/>
              <w:divBdr>
                <w:top w:val="none" w:sz="0" w:space="0" w:color="auto"/>
                <w:left w:val="none" w:sz="0" w:space="0" w:color="auto"/>
                <w:bottom w:val="none" w:sz="0" w:space="0" w:color="auto"/>
                <w:right w:val="none" w:sz="0" w:space="0" w:color="auto"/>
              </w:divBdr>
              <w:divsChild>
                <w:div w:id="6199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408">
          <w:marLeft w:val="0"/>
          <w:marRight w:val="0"/>
          <w:marTop w:val="0"/>
          <w:marBottom w:val="150"/>
          <w:divBdr>
            <w:top w:val="none" w:sz="0" w:space="0" w:color="auto"/>
            <w:left w:val="none" w:sz="0" w:space="0" w:color="auto"/>
            <w:bottom w:val="none" w:sz="0" w:space="0" w:color="auto"/>
            <w:right w:val="none" w:sz="0" w:space="0" w:color="auto"/>
          </w:divBdr>
        </w:div>
        <w:div w:id="641349866">
          <w:marLeft w:val="0"/>
          <w:marRight w:val="0"/>
          <w:marTop w:val="0"/>
          <w:marBottom w:val="150"/>
          <w:divBdr>
            <w:top w:val="none" w:sz="0" w:space="0" w:color="auto"/>
            <w:left w:val="none" w:sz="0" w:space="0" w:color="auto"/>
            <w:bottom w:val="none" w:sz="0" w:space="0" w:color="auto"/>
            <w:right w:val="none" w:sz="0" w:space="0" w:color="auto"/>
          </w:divBdr>
          <w:divsChild>
            <w:div w:id="1660235493">
              <w:marLeft w:val="0"/>
              <w:marRight w:val="0"/>
              <w:marTop w:val="240"/>
              <w:marBottom w:val="240"/>
              <w:divBdr>
                <w:top w:val="none" w:sz="0" w:space="0" w:color="auto"/>
                <w:left w:val="none" w:sz="0" w:space="0" w:color="auto"/>
                <w:bottom w:val="none" w:sz="0" w:space="0" w:color="auto"/>
                <w:right w:val="none" w:sz="0" w:space="0" w:color="auto"/>
              </w:divBdr>
              <w:divsChild>
                <w:div w:id="19206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2731">
          <w:marLeft w:val="0"/>
          <w:marRight w:val="0"/>
          <w:marTop w:val="0"/>
          <w:marBottom w:val="150"/>
          <w:divBdr>
            <w:top w:val="none" w:sz="0" w:space="0" w:color="auto"/>
            <w:left w:val="none" w:sz="0" w:space="0" w:color="auto"/>
            <w:bottom w:val="none" w:sz="0" w:space="0" w:color="auto"/>
            <w:right w:val="none" w:sz="0" w:space="0" w:color="auto"/>
          </w:divBdr>
        </w:div>
        <w:div w:id="575164872">
          <w:marLeft w:val="0"/>
          <w:marRight w:val="0"/>
          <w:marTop w:val="0"/>
          <w:marBottom w:val="150"/>
          <w:divBdr>
            <w:top w:val="none" w:sz="0" w:space="0" w:color="auto"/>
            <w:left w:val="none" w:sz="0" w:space="0" w:color="auto"/>
            <w:bottom w:val="none" w:sz="0" w:space="0" w:color="auto"/>
            <w:right w:val="none" w:sz="0" w:space="0" w:color="auto"/>
          </w:divBdr>
          <w:divsChild>
            <w:div w:id="594822583">
              <w:marLeft w:val="0"/>
              <w:marRight w:val="0"/>
              <w:marTop w:val="240"/>
              <w:marBottom w:val="240"/>
              <w:divBdr>
                <w:top w:val="none" w:sz="0" w:space="0" w:color="auto"/>
                <w:left w:val="none" w:sz="0" w:space="0" w:color="auto"/>
                <w:bottom w:val="none" w:sz="0" w:space="0" w:color="auto"/>
                <w:right w:val="none" w:sz="0" w:space="0" w:color="auto"/>
              </w:divBdr>
              <w:divsChild>
                <w:div w:id="18783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9630">
          <w:marLeft w:val="0"/>
          <w:marRight w:val="0"/>
          <w:marTop w:val="0"/>
          <w:marBottom w:val="150"/>
          <w:divBdr>
            <w:top w:val="none" w:sz="0" w:space="0" w:color="auto"/>
            <w:left w:val="none" w:sz="0" w:space="0" w:color="auto"/>
            <w:bottom w:val="none" w:sz="0" w:space="0" w:color="auto"/>
            <w:right w:val="none" w:sz="0" w:space="0" w:color="auto"/>
          </w:divBdr>
        </w:div>
        <w:div w:id="1643383924">
          <w:marLeft w:val="0"/>
          <w:marRight w:val="0"/>
          <w:marTop w:val="0"/>
          <w:marBottom w:val="150"/>
          <w:divBdr>
            <w:top w:val="none" w:sz="0" w:space="0" w:color="auto"/>
            <w:left w:val="none" w:sz="0" w:space="0" w:color="auto"/>
            <w:bottom w:val="none" w:sz="0" w:space="0" w:color="auto"/>
            <w:right w:val="none" w:sz="0" w:space="0" w:color="auto"/>
          </w:divBdr>
          <w:divsChild>
            <w:div w:id="1161119131">
              <w:marLeft w:val="0"/>
              <w:marRight w:val="0"/>
              <w:marTop w:val="240"/>
              <w:marBottom w:val="240"/>
              <w:divBdr>
                <w:top w:val="none" w:sz="0" w:space="0" w:color="auto"/>
                <w:left w:val="none" w:sz="0" w:space="0" w:color="auto"/>
                <w:bottom w:val="none" w:sz="0" w:space="0" w:color="auto"/>
                <w:right w:val="none" w:sz="0" w:space="0" w:color="auto"/>
              </w:divBdr>
              <w:divsChild>
                <w:div w:id="5852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0556">
      <w:bodyDiv w:val="1"/>
      <w:marLeft w:val="0"/>
      <w:marRight w:val="0"/>
      <w:marTop w:val="0"/>
      <w:marBottom w:val="0"/>
      <w:divBdr>
        <w:top w:val="none" w:sz="0" w:space="0" w:color="auto"/>
        <w:left w:val="none" w:sz="0" w:space="0" w:color="auto"/>
        <w:bottom w:val="none" w:sz="0" w:space="0" w:color="auto"/>
        <w:right w:val="none" w:sz="0" w:space="0" w:color="auto"/>
      </w:divBdr>
      <w:divsChild>
        <w:div w:id="1712337013">
          <w:marLeft w:val="0"/>
          <w:marRight w:val="0"/>
          <w:marTop w:val="0"/>
          <w:marBottom w:val="150"/>
          <w:divBdr>
            <w:top w:val="none" w:sz="0" w:space="0" w:color="auto"/>
            <w:left w:val="none" w:sz="0" w:space="0" w:color="auto"/>
            <w:bottom w:val="none" w:sz="0" w:space="0" w:color="auto"/>
            <w:right w:val="none" w:sz="0" w:space="0" w:color="auto"/>
          </w:divBdr>
          <w:divsChild>
            <w:div w:id="1706564646">
              <w:marLeft w:val="0"/>
              <w:marRight w:val="0"/>
              <w:marTop w:val="75"/>
              <w:marBottom w:val="150"/>
              <w:divBdr>
                <w:top w:val="none" w:sz="0" w:space="0" w:color="auto"/>
                <w:left w:val="none" w:sz="0" w:space="0" w:color="auto"/>
                <w:bottom w:val="none" w:sz="0" w:space="0" w:color="auto"/>
                <w:right w:val="none" w:sz="0" w:space="0" w:color="auto"/>
              </w:divBdr>
            </w:div>
          </w:divsChild>
        </w:div>
        <w:div w:id="1633438264">
          <w:marLeft w:val="0"/>
          <w:marRight w:val="0"/>
          <w:marTop w:val="0"/>
          <w:marBottom w:val="150"/>
          <w:divBdr>
            <w:top w:val="none" w:sz="0" w:space="0" w:color="auto"/>
            <w:left w:val="none" w:sz="0" w:space="0" w:color="auto"/>
            <w:bottom w:val="none" w:sz="0" w:space="0" w:color="auto"/>
            <w:right w:val="none" w:sz="0" w:space="0" w:color="auto"/>
          </w:divBdr>
          <w:divsChild>
            <w:div w:id="482434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98376061">
      <w:bodyDiv w:val="1"/>
      <w:marLeft w:val="0"/>
      <w:marRight w:val="0"/>
      <w:marTop w:val="0"/>
      <w:marBottom w:val="0"/>
      <w:divBdr>
        <w:top w:val="none" w:sz="0" w:space="0" w:color="auto"/>
        <w:left w:val="none" w:sz="0" w:space="0" w:color="auto"/>
        <w:bottom w:val="none" w:sz="0" w:space="0" w:color="auto"/>
        <w:right w:val="none" w:sz="0" w:space="0" w:color="auto"/>
      </w:divBdr>
    </w:div>
    <w:div w:id="1558668172">
      <w:bodyDiv w:val="1"/>
      <w:marLeft w:val="0"/>
      <w:marRight w:val="0"/>
      <w:marTop w:val="0"/>
      <w:marBottom w:val="0"/>
      <w:divBdr>
        <w:top w:val="none" w:sz="0" w:space="0" w:color="auto"/>
        <w:left w:val="none" w:sz="0" w:space="0" w:color="auto"/>
        <w:bottom w:val="none" w:sz="0" w:space="0" w:color="auto"/>
        <w:right w:val="none" w:sz="0" w:space="0" w:color="auto"/>
      </w:divBdr>
    </w:div>
    <w:div w:id="1802991899">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888443275">
      <w:bodyDiv w:val="1"/>
      <w:marLeft w:val="0"/>
      <w:marRight w:val="0"/>
      <w:marTop w:val="0"/>
      <w:marBottom w:val="0"/>
      <w:divBdr>
        <w:top w:val="none" w:sz="0" w:space="0" w:color="auto"/>
        <w:left w:val="none" w:sz="0" w:space="0" w:color="auto"/>
        <w:bottom w:val="none" w:sz="0" w:space="0" w:color="auto"/>
        <w:right w:val="none" w:sz="0" w:space="0" w:color="auto"/>
      </w:divBdr>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oecd.org/daf/fin/insurance/terrorism-risk-insurance-programmes.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A1D9-5F4A-49EF-811A-245BA3EB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2529</Characters>
  <Application>Microsoft Office Word</Application>
  <DocSecurity>0</DocSecurity>
  <Lines>64</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2</cp:revision>
  <cp:lastPrinted>2014-09-17T09:41:00Z</cp:lastPrinted>
  <dcterms:created xsi:type="dcterms:W3CDTF">2014-09-26T10:12:00Z</dcterms:created>
  <dcterms:modified xsi:type="dcterms:W3CDTF">2014-09-26T10:12:00Z</dcterms:modified>
</cp:coreProperties>
</file>